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A36F" w14:textId="363C8354" w:rsidR="00DE649C" w:rsidRDefault="00DE649C" w:rsidP="001C46D1">
      <w:pPr>
        <w:spacing w:after="0" w:line="240" w:lineRule="auto"/>
        <w:rPr>
          <w:rFonts w:eastAsia="Times New Roman" w:cs="Times New Roman"/>
          <w:bCs/>
          <w:szCs w:val="20"/>
          <w:u w:val="single"/>
        </w:rPr>
      </w:pPr>
      <w:r w:rsidRPr="00DE649C">
        <w:rPr>
          <w:rFonts w:eastAsia="Times New Roman" w:cs="Times New Roman"/>
          <w:noProof/>
          <w:szCs w:val="24"/>
          <w:lang w:eastAsia="en-GB"/>
        </w:rPr>
        <w:drawing>
          <wp:anchor distT="0" distB="0" distL="114300" distR="114300" simplePos="0" relativeHeight="251659264" behindDoc="0" locked="0" layoutInCell="1" allowOverlap="1" wp14:anchorId="2D740D74" wp14:editId="6AA2E903">
            <wp:simplePos x="0" y="0"/>
            <wp:positionH relativeFrom="margin">
              <wp:posOffset>2381250</wp:posOffset>
            </wp:positionH>
            <wp:positionV relativeFrom="paragraph">
              <wp:posOffset>-9525</wp:posOffset>
            </wp:positionV>
            <wp:extent cx="971550" cy="962025"/>
            <wp:effectExtent l="0" t="0" r="0" b="9525"/>
            <wp:wrapNone/>
            <wp:docPr id="3"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B695C" w14:textId="538BD378" w:rsidR="00DE649C" w:rsidRDefault="00DE649C" w:rsidP="001C46D1">
      <w:pPr>
        <w:spacing w:after="0" w:line="240" w:lineRule="auto"/>
        <w:rPr>
          <w:rFonts w:eastAsia="Times New Roman" w:cs="Times New Roman"/>
          <w:bCs/>
          <w:szCs w:val="20"/>
          <w:u w:val="single"/>
        </w:rPr>
      </w:pPr>
    </w:p>
    <w:p w14:paraId="26531657" w14:textId="3DBDB501" w:rsidR="00DE649C" w:rsidRDefault="00DE649C" w:rsidP="001C46D1">
      <w:pPr>
        <w:spacing w:after="0" w:line="240" w:lineRule="auto"/>
        <w:rPr>
          <w:rFonts w:eastAsia="Times New Roman" w:cs="Times New Roman"/>
          <w:bCs/>
          <w:szCs w:val="20"/>
          <w:u w:val="single"/>
        </w:rPr>
      </w:pPr>
    </w:p>
    <w:p w14:paraId="7CF88A4D" w14:textId="77777777" w:rsidR="00DE649C" w:rsidRDefault="00DE649C" w:rsidP="001C46D1">
      <w:pPr>
        <w:spacing w:after="0" w:line="240" w:lineRule="auto"/>
        <w:rPr>
          <w:rFonts w:eastAsia="Times New Roman" w:cs="Times New Roman"/>
          <w:bCs/>
          <w:szCs w:val="20"/>
          <w:u w:val="single"/>
        </w:rPr>
      </w:pPr>
    </w:p>
    <w:p w14:paraId="239D92C6" w14:textId="77777777" w:rsidR="00DE649C" w:rsidRDefault="00DE649C" w:rsidP="00DE649C">
      <w:pPr>
        <w:spacing w:after="0" w:line="240" w:lineRule="auto"/>
        <w:jc w:val="center"/>
        <w:rPr>
          <w:rFonts w:eastAsia="Times New Roman" w:cs="Times New Roman"/>
          <w:bCs/>
          <w:szCs w:val="20"/>
          <w:u w:val="single"/>
        </w:rPr>
      </w:pPr>
    </w:p>
    <w:p w14:paraId="7DCBE490" w14:textId="77777777" w:rsidR="00DE649C" w:rsidRDefault="00DE649C" w:rsidP="001C46D1">
      <w:pPr>
        <w:spacing w:after="0" w:line="240" w:lineRule="auto"/>
        <w:rPr>
          <w:rFonts w:eastAsia="Times New Roman" w:cs="Times New Roman"/>
          <w:bCs/>
          <w:szCs w:val="20"/>
          <w:u w:val="single"/>
        </w:rPr>
      </w:pPr>
    </w:p>
    <w:p w14:paraId="7DD686F1" w14:textId="77777777" w:rsidR="00DE649C" w:rsidRDefault="00DE649C" w:rsidP="001C46D1">
      <w:pPr>
        <w:spacing w:after="0" w:line="240" w:lineRule="auto"/>
        <w:rPr>
          <w:rFonts w:eastAsia="Times New Roman" w:cs="Times New Roman"/>
          <w:bCs/>
          <w:szCs w:val="20"/>
          <w:u w:val="single"/>
        </w:rPr>
      </w:pPr>
    </w:p>
    <w:p w14:paraId="3FF23B25" w14:textId="7B00DE8A" w:rsidR="001C46D1" w:rsidRPr="001C46D1" w:rsidRDefault="001C46D1" w:rsidP="001C46D1">
      <w:pPr>
        <w:spacing w:after="0" w:line="240" w:lineRule="auto"/>
        <w:rPr>
          <w:rFonts w:eastAsia="Times New Roman" w:cs="Times New Roman"/>
          <w:bCs/>
          <w:sz w:val="20"/>
          <w:szCs w:val="20"/>
        </w:rPr>
      </w:pPr>
      <w:r w:rsidRPr="001C46D1">
        <w:rPr>
          <w:rFonts w:eastAsia="Times New Roman" w:cs="Times New Roman"/>
          <w:bCs/>
          <w:szCs w:val="20"/>
          <w:u w:val="single"/>
        </w:rPr>
        <w:t xml:space="preserve">Neutral Citation Number: </w:t>
      </w:r>
      <w:r w:rsidR="00DE649C">
        <w:rPr>
          <w:rFonts w:eastAsia="Times New Roman" w:cs="Times New Roman"/>
          <w:bCs/>
          <w:szCs w:val="20"/>
          <w:u w:val="single"/>
        </w:rPr>
        <w:t xml:space="preserve">[2021] EWHC 1608 (QB) </w:t>
      </w:r>
      <w:r w:rsidRPr="001C46D1">
        <w:rPr>
          <w:rFonts w:eastAsia="Times New Roman" w:cs="Times New Roman"/>
          <w:bCs/>
          <w:szCs w:val="20"/>
          <w:u w:val="single"/>
        </w:rPr>
        <w:br/>
      </w:r>
    </w:p>
    <w:p w14:paraId="10E6AD38" w14:textId="7F883EF4" w:rsidR="004355B8" w:rsidRDefault="004355B8" w:rsidP="001C46D1">
      <w:pPr>
        <w:spacing w:after="0" w:line="240" w:lineRule="auto"/>
        <w:jc w:val="right"/>
        <w:rPr>
          <w:rFonts w:eastAsia="Times New Roman" w:cs="Times New Roman"/>
          <w:szCs w:val="20"/>
          <w:u w:val="single"/>
        </w:rPr>
      </w:pPr>
      <w:r>
        <w:rPr>
          <w:rFonts w:eastAsia="Times New Roman" w:cs="Times New Roman"/>
          <w:szCs w:val="20"/>
          <w:u w:val="single"/>
        </w:rPr>
        <w:t>Appeal No:</w:t>
      </w:r>
      <w:r w:rsidR="00B56EA8">
        <w:rPr>
          <w:rFonts w:eastAsia="Times New Roman" w:cs="Times New Roman"/>
          <w:szCs w:val="20"/>
          <w:u w:val="single"/>
        </w:rPr>
        <w:t xml:space="preserve"> QB/2020/012</w:t>
      </w:r>
      <w:r>
        <w:rPr>
          <w:rFonts w:eastAsia="Times New Roman" w:cs="Times New Roman"/>
          <w:szCs w:val="20"/>
          <w:u w:val="single"/>
        </w:rPr>
        <w:t xml:space="preserve"> </w:t>
      </w:r>
    </w:p>
    <w:p w14:paraId="4AD3D9AD" w14:textId="24713150" w:rsidR="001C46D1" w:rsidRPr="001C46D1" w:rsidRDefault="004355B8" w:rsidP="001C46D1">
      <w:pPr>
        <w:spacing w:after="0" w:line="240" w:lineRule="auto"/>
        <w:jc w:val="right"/>
        <w:rPr>
          <w:rFonts w:eastAsia="Times New Roman" w:cs="Times New Roman"/>
          <w:b/>
          <w:spacing w:val="-3"/>
          <w:szCs w:val="20"/>
          <w:u w:val="single"/>
        </w:rPr>
      </w:pPr>
      <w:r>
        <w:rPr>
          <w:rFonts w:eastAsia="Times New Roman" w:cs="Times New Roman"/>
          <w:szCs w:val="20"/>
          <w:u w:val="single"/>
        </w:rPr>
        <w:t xml:space="preserve">County </w:t>
      </w:r>
      <w:r w:rsidR="00033E96">
        <w:rPr>
          <w:rFonts w:eastAsia="Times New Roman" w:cs="Times New Roman"/>
          <w:szCs w:val="20"/>
          <w:u w:val="single"/>
        </w:rPr>
        <w:t xml:space="preserve">Court </w:t>
      </w:r>
      <w:r w:rsidR="001C46D1" w:rsidRPr="001C46D1">
        <w:rPr>
          <w:rFonts w:eastAsia="Times New Roman" w:cs="Times New Roman"/>
          <w:szCs w:val="20"/>
          <w:u w:val="single"/>
        </w:rPr>
        <w:t>C</w:t>
      </w:r>
      <w:r w:rsidR="00033E96">
        <w:rPr>
          <w:rFonts w:eastAsia="Times New Roman" w:cs="Times New Roman"/>
          <w:szCs w:val="20"/>
          <w:u w:val="single"/>
        </w:rPr>
        <w:t>laim</w:t>
      </w:r>
      <w:r w:rsidR="001C46D1" w:rsidRPr="001C46D1">
        <w:rPr>
          <w:rFonts w:eastAsia="Times New Roman" w:cs="Times New Roman"/>
          <w:szCs w:val="20"/>
          <w:u w:val="single"/>
        </w:rPr>
        <w:t xml:space="preserve"> No: </w:t>
      </w:r>
      <w:r w:rsidR="00C501D1">
        <w:rPr>
          <w:rFonts w:eastAsia="Times New Roman" w:cs="Times New Roman"/>
          <w:szCs w:val="20"/>
          <w:u w:val="single"/>
        </w:rPr>
        <w:t>E90SE026</w:t>
      </w:r>
    </w:p>
    <w:p w14:paraId="3C52A1FB" w14:textId="77777777" w:rsidR="001C46D1" w:rsidRPr="001C46D1" w:rsidRDefault="001C46D1" w:rsidP="001C46D1">
      <w:pPr>
        <w:suppressAutoHyphens/>
        <w:spacing w:after="0" w:line="240" w:lineRule="auto"/>
        <w:rPr>
          <w:rFonts w:eastAsia="Times New Roman" w:cs="Times New Roman"/>
          <w:b/>
          <w:spacing w:val="-3"/>
          <w:szCs w:val="20"/>
          <w:u w:val="single"/>
        </w:rPr>
      </w:pPr>
      <w:r w:rsidRPr="001C46D1">
        <w:rPr>
          <w:rFonts w:eastAsia="Times New Roman" w:cs="Times New Roman"/>
          <w:b/>
          <w:spacing w:val="-3"/>
          <w:szCs w:val="20"/>
          <w:u w:val="single"/>
        </w:rPr>
        <w:t>IN THE HIGH COURT OF JUSTICE</w:t>
      </w:r>
    </w:p>
    <w:p w14:paraId="491CF5BF" w14:textId="1A26BFEF" w:rsidR="001C46D1" w:rsidRDefault="001C46D1" w:rsidP="001C46D1">
      <w:pPr>
        <w:suppressAutoHyphens/>
        <w:spacing w:after="0" w:line="240" w:lineRule="auto"/>
        <w:rPr>
          <w:rFonts w:eastAsia="Times New Roman" w:cs="Times New Roman"/>
          <w:b/>
          <w:spacing w:val="-3"/>
          <w:szCs w:val="24"/>
          <w:u w:val="single"/>
        </w:rPr>
      </w:pPr>
      <w:r w:rsidRPr="001C46D1">
        <w:rPr>
          <w:rFonts w:eastAsia="Times New Roman" w:cs="Times New Roman"/>
          <w:b/>
          <w:spacing w:val="-3"/>
          <w:szCs w:val="24"/>
          <w:u w:val="single"/>
        </w:rPr>
        <w:t>QUEEN'S BENCH DIVISION</w:t>
      </w:r>
    </w:p>
    <w:p w14:paraId="620F09E4" w14:textId="6A2B808B" w:rsidR="00546A13" w:rsidRDefault="00546A13" w:rsidP="001C46D1">
      <w:pPr>
        <w:suppressAutoHyphens/>
        <w:spacing w:after="0" w:line="240" w:lineRule="auto"/>
        <w:rPr>
          <w:rFonts w:eastAsia="Times New Roman" w:cs="Times New Roman"/>
          <w:b/>
          <w:spacing w:val="-3"/>
          <w:szCs w:val="24"/>
          <w:u w:val="single"/>
        </w:rPr>
      </w:pPr>
      <w:r>
        <w:rPr>
          <w:rFonts w:eastAsia="Times New Roman" w:cs="Times New Roman"/>
          <w:b/>
          <w:spacing w:val="-3"/>
          <w:szCs w:val="24"/>
          <w:u w:val="single"/>
        </w:rPr>
        <w:t xml:space="preserve">LEEDS </w:t>
      </w:r>
      <w:r w:rsidR="00E57DAB">
        <w:rPr>
          <w:rFonts w:eastAsia="Times New Roman" w:cs="Times New Roman"/>
          <w:b/>
          <w:spacing w:val="-3"/>
          <w:szCs w:val="24"/>
          <w:u w:val="single"/>
        </w:rPr>
        <w:t>DISTRICT</w:t>
      </w:r>
      <w:r>
        <w:rPr>
          <w:rFonts w:eastAsia="Times New Roman" w:cs="Times New Roman"/>
          <w:b/>
          <w:spacing w:val="-3"/>
          <w:szCs w:val="24"/>
          <w:u w:val="single"/>
        </w:rPr>
        <w:t xml:space="preserve"> REGISTRY</w:t>
      </w:r>
    </w:p>
    <w:p w14:paraId="5B9E050C" w14:textId="698005D9" w:rsidR="00033E96" w:rsidRDefault="00033E96" w:rsidP="001C46D1">
      <w:pPr>
        <w:suppressAutoHyphens/>
        <w:spacing w:after="0" w:line="240" w:lineRule="auto"/>
        <w:rPr>
          <w:rFonts w:eastAsia="Times New Roman" w:cs="Times New Roman"/>
          <w:b/>
          <w:spacing w:val="-3"/>
          <w:szCs w:val="24"/>
          <w:u w:val="single"/>
        </w:rPr>
      </w:pPr>
      <w:r>
        <w:rPr>
          <w:rFonts w:eastAsia="Times New Roman" w:cs="Times New Roman"/>
          <w:b/>
          <w:spacing w:val="-3"/>
          <w:szCs w:val="24"/>
          <w:u w:val="single"/>
        </w:rPr>
        <w:t>ON APPEAL FROM</w:t>
      </w:r>
    </w:p>
    <w:p w14:paraId="6F6D5056" w14:textId="743B2F17" w:rsidR="00033E96" w:rsidRPr="001C46D1" w:rsidRDefault="000775F0" w:rsidP="001C46D1">
      <w:pPr>
        <w:suppressAutoHyphens/>
        <w:spacing w:after="0" w:line="240" w:lineRule="auto"/>
        <w:rPr>
          <w:rFonts w:eastAsia="Times New Roman" w:cs="Times New Roman"/>
          <w:b/>
          <w:spacing w:val="-3"/>
          <w:szCs w:val="24"/>
          <w:u w:val="single"/>
        </w:rPr>
      </w:pPr>
      <w:r>
        <w:rPr>
          <w:rFonts w:eastAsia="Times New Roman" w:cs="Times New Roman"/>
          <w:b/>
          <w:spacing w:val="-3"/>
          <w:szCs w:val="24"/>
          <w:u w:val="single"/>
        </w:rPr>
        <w:t xml:space="preserve">SHEFFIELD </w:t>
      </w:r>
      <w:r w:rsidR="00E57DAB">
        <w:rPr>
          <w:rFonts w:eastAsia="Times New Roman" w:cs="Times New Roman"/>
          <w:b/>
          <w:spacing w:val="-3"/>
          <w:szCs w:val="24"/>
          <w:u w:val="single"/>
        </w:rPr>
        <w:t>DISTRICT</w:t>
      </w:r>
      <w:r>
        <w:rPr>
          <w:rFonts w:eastAsia="Times New Roman" w:cs="Times New Roman"/>
          <w:b/>
          <w:spacing w:val="-3"/>
          <w:szCs w:val="24"/>
          <w:u w:val="single"/>
        </w:rPr>
        <w:t xml:space="preserve"> REGISTRY</w:t>
      </w:r>
    </w:p>
    <w:p w14:paraId="770C78E0" w14:textId="77777777" w:rsidR="001C46D1" w:rsidRPr="001C46D1" w:rsidRDefault="001C46D1" w:rsidP="001C46D1">
      <w:pPr>
        <w:suppressAutoHyphens/>
        <w:spacing w:after="0" w:line="240" w:lineRule="auto"/>
        <w:rPr>
          <w:rFonts w:eastAsia="Times New Roman" w:cs="Times New Roman"/>
          <w:b/>
          <w:spacing w:val="-3"/>
          <w:szCs w:val="24"/>
          <w:u w:val="single"/>
        </w:rPr>
      </w:pPr>
    </w:p>
    <w:p w14:paraId="34861712" w14:textId="779D56AC" w:rsidR="001C46D1" w:rsidRDefault="00657000" w:rsidP="001C46D1">
      <w:pPr>
        <w:spacing w:after="0" w:line="240" w:lineRule="auto"/>
        <w:jc w:val="right"/>
        <w:rPr>
          <w:rFonts w:eastAsia="Times New Roman" w:cs="Times New Roman"/>
          <w:szCs w:val="20"/>
          <w:u w:val="single"/>
        </w:rPr>
      </w:pPr>
      <w:r>
        <w:rPr>
          <w:rFonts w:eastAsia="Times New Roman" w:cs="Times New Roman"/>
          <w:szCs w:val="20"/>
          <w:u w:val="single"/>
        </w:rPr>
        <w:t xml:space="preserve">Hull </w:t>
      </w:r>
      <w:r w:rsidR="00033E96">
        <w:rPr>
          <w:rFonts w:eastAsia="Times New Roman" w:cs="Times New Roman"/>
          <w:szCs w:val="20"/>
          <w:u w:val="single"/>
        </w:rPr>
        <w:t>Combined Court Centre</w:t>
      </w:r>
    </w:p>
    <w:p w14:paraId="0683CDBF" w14:textId="793B9AE5" w:rsidR="00F70284" w:rsidRDefault="00F70284" w:rsidP="001C46D1">
      <w:pPr>
        <w:spacing w:after="0" w:line="240" w:lineRule="auto"/>
        <w:jc w:val="right"/>
        <w:rPr>
          <w:rFonts w:eastAsia="Times New Roman" w:cs="Times New Roman"/>
          <w:szCs w:val="20"/>
          <w:u w:val="single"/>
        </w:rPr>
      </w:pPr>
      <w:r>
        <w:rPr>
          <w:rFonts w:eastAsia="Times New Roman" w:cs="Times New Roman"/>
          <w:szCs w:val="20"/>
          <w:u w:val="single"/>
        </w:rPr>
        <w:t>Lowgate</w:t>
      </w:r>
    </w:p>
    <w:p w14:paraId="7EB23C6C" w14:textId="10328559" w:rsidR="00F70284" w:rsidRDefault="00F70284" w:rsidP="001C46D1">
      <w:pPr>
        <w:spacing w:after="0" w:line="240" w:lineRule="auto"/>
        <w:jc w:val="right"/>
        <w:rPr>
          <w:rFonts w:eastAsia="Times New Roman" w:cs="Times New Roman"/>
          <w:szCs w:val="20"/>
          <w:u w:val="single"/>
        </w:rPr>
      </w:pPr>
      <w:r>
        <w:rPr>
          <w:rFonts w:eastAsia="Times New Roman" w:cs="Times New Roman"/>
          <w:szCs w:val="20"/>
          <w:u w:val="single"/>
        </w:rPr>
        <w:t>Hull</w:t>
      </w:r>
      <w:r w:rsidR="00657000">
        <w:rPr>
          <w:rFonts w:eastAsia="Times New Roman" w:cs="Times New Roman"/>
          <w:szCs w:val="20"/>
          <w:u w:val="single"/>
        </w:rPr>
        <w:t xml:space="preserve"> HU1 3EZ</w:t>
      </w:r>
      <w:r>
        <w:rPr>
          <w:rFonts w:eastAsia="Times New Roman" w:cs="Times New Roman"/>
          <w:szCs w:val="20"/>
          <w:u w:val="single"/>
        </w:rPr>
        <w:t xml:space="preserve"> </w:t>
      </w:r>
    </w:p>
    <w:p w14:paraId="7205D826" w14:textId="1F09E4F9" w:rsidR="004471DD" w:rsidRDefault="004471DD" w:rsidP="001C46D1">
      <w:pPr>
        <w:spacing w:after="0" w:line="240" w:lineRule="auto"/>
        <w:jc w:val="right"/>
        <w:rPr>
          <w:rFonts w:eastAsia="Times New Roman" w:cs="Times New Roman"/>
          <w:szCs w:val="20"/>
          <w:u w:val="single"/>
        </w:rPr>
      </w:pPr>
      <w:r>
        <w:rPr>
          <w:rFonts w:eastAsia="Times New Roman" w:cs="Times New Roman"/>
          <w:szCs w:val="20"/>
          <w:u w:val="single"/>
        </w:rPr>
        <w:t>(Remote hearing on</w:t>
      </w:r>
      <w:r w:rsidR="00F70284">
        <w:rPr>
          <w:rFonts w:eastAsia="Times New Roman" w:cs="Times New Roman"/>
          <w:szCs w:val="20"/>
          <w:u w:val="single"/>
        </w:rPr>
        <w:t xml:space="preserve"> Cloud Video Platform</w:t>
      </w:r>
      <w:r>
        <w:rPr>
          <w:rFonts w:eastAsia="Times New Roman" w:cs="Times New Roman"/>
          <w:szCs w:val="20"/>
          <w:u w:val="single"/>
        </w:rPr>
        <w:t>)</w:t>
      </w:r>
    </w:p>
    <w:p w14:paraId="2876092F" w14:textId="77777777" w:rsidR="00033E96" w:rsidRPr="001C46D1" w:rsidRDefault="00033E96" w:rsidP="001C46D1">
      <w:pPr>
        <w:spacing w:after="0" w:line="240" w:lineRule="auto"/>
        <w:jc w:val="right"/>
        <w:rPr>
          <w:rFonts w:eastAsia="Times New Roman" w:cs="Times New Roman"/>
          <w:szCs w:val="20"/>
          <w:u w:val="single"/>
        </w:rPr>
      </w:pPr>
    </w:p>
    <w:p w14:paraId="73E70062" w14:textId="13A5DF9C" w:rsidR="001C46D1" w:rsidRPr="001C46D1" w:rsidRDefault="001C46D1" w:rsidP="064C8778">
      <w:pPr>
        <w:spacing w:after="0" w:line="240" w:lineRule="auto"/>
        <w:jc w:val="right"/>
        <w:rPr>
          <w:rFonts w:eastAsia="Times New Roman" w:cs="Times New Roman"/>
          <w:spacing w:val="-3"/>
        </w:rPr>
      </w:pPr>
      <w:r w:rsidRPr="064C8778">
        <w:rPr>
          <w:rFonts w:eastAsia="Times New Roman" w:cs="Times New Roman"/>
          <w:u w:val="single"/>
        </w:rPr>
        <w:t xml:space="preserve">Date: </w:t>
      </w:r>
      <w:r w:rsidR="00027847">
        <w:rPr>
          <w:rFonts w:eastAsia="Times New Roman" w:cs="Times New Roman"/>
          <w:u w:val="single"/>
        </w:rPr>
        <w:t>11</w:t>
      </w:r>
      <w:r w:rsidR="004471DD" w:rsidRPr="064C8778">
        <w:rPr>
          <w:rFonts w:eastAsia="Times New Roman" w:cs="Times New Roman"/>
          <w:u w:val="single"/>
        </w:rPr>
        <w:t xml:space="preserve"> </w:t>
      </w:r>
      <w:r w:rsidR="4D1E69C9" w:rsidRPr="064C8778">
        <w:rPr>
          <w:rFonts w:eastAsia="Times New Roman" w:cs="Times New Roman"/>
          <w:u w:val="single"/>
        </w:rPr>
        <w:t>J</w:t>
      </w:r>
      <w:r w:rsidR="007D682A">
        <w:rPr>
          <w:rFonts w:eastAsia="Times New Roman" w:cs="Times New Roman"/>
          <w:u w:val="single"/>
        </w:rPr>
        <w:t>une</w:t>
      </w:r>
      <w:r w:rsidR="00033E96" w:rsidRPr="064C8778">
        <w:rPr>
          <w:rFonts w:eastAsia="Times New Roman" w:cs="Times New Roman"/>
          <w:u w:val="single"/>
        </w:rPr>
        <w:t xml:space="preserve"> 202</w:t>
      </w:r>
      <w:r w:rsidR="7D9A3B0A" w:rsidRPr="064C8778">
        <w:rPr>
          <w:rFonts w:eastAsia="Times New Roman" w:cs="Times New Roman"/>
          <w:u w:val="single"/>
        </w:rPr>
        <w:t>1</w:t>
      </w:r>
    </w:p>
    <w:p w14:paraId="00069522" w14:textId="644D1BC6" w:rsidR="001C46D1" w:rsidRPr="001C46D1" w:rsidRDefault="001C46D1" w:rsidP="001C46D1">
      <w:pPr>
        <w:suppressAutoHyphens/>
        <w:spacing w:after="0" w:line="240" w:lineRule="auto"/>
        <w:jc w:val="center"/>
        <w:rPr>
          <w:rFonts w:eastAsia="Times New Roman" w:cs="Times New Roman"/>
          <w:spacing w:val="-3"/>
          <w:szCs w:val="24"/>
        </w:rPr>
      </w:pPr>
      <w:r w:rsidRPr="001C46D1">
        <w:rPr>
          <w:rFonts w:eastAsia="Times New Roman" w:cs="Times New Roman"/>
          <w:b/>
          <w:spacing w:val="-3"/>
          <w:szCs w:val="24"/>
        </w:rPr>
        <w:t>Before</w:t>
      </w:r>
      <w:r w:rsidRPr="001C46D1">
        <w:rPr>
          <w:rFonts w:eastAsia="Times New Roman" w:cs="Times New Roman"/>
          <w:spacing w:val="-3"/>
          <w:szCs w:val="24"/>
        </w:rPr>
        <w:t>:</w:t>
      </w:r>
    </w:p>
    <w:p w14:paraId="1793F1A0" w14:textId="77777777" w:rsidR="001C46D1" w:rsidRPr="001C46D1" w:rsidRDefault="001C46D1" w:rsidP="001C46D1">
      <w:pPr>
        <w:suppressAutoHyphens/>
        <w:spacing w:after="0" w:line="240" w:lineRule="auto"/>
        <w:jc w:val="center"/>
        <w:rPr>
          <w:rFonts w:eastAsia="Times New Roman" w:cs="Times New Roman"/>
          <w:spacing w:val="-3"/>
          <w:szCs w:val="24"/>
        </w:rPr>
      </w:pPr>
    </w:p>
    <w:p w14:paraId="21A94A6A" w14:textId="77777777" w:rsidR="001C46D1" w:rsidRPr="001C46D1" w:rsidRDefault="001C46D1" w:rsidP="001C46D1">
      <w:pPr>
        <w:suppressAutoHyphens/>
        <w:spacing w:after="0" w:line="240" w:lineRule="auto"/>
        <w:jc w:val="center"/>
        <w:rPr>
          <w:rFonts w:eastAsia="Times New Roman" w:cs="Times New Roman"/>
          <w:b/>
          <w:spacing w:val="-3"/>
          <w:szCs w:val="20"/>
          <w:u w:val="single"/>
        </w:rPr>
      </w:pPr>
      <w:r w:rsidRPr="001C46D1">
        <w:rPr>
          <w:rFonts w:eastAsia="Times New Roman" w:cs="Times New Roman"/>
          <w:b/>
          <w:spacing w:val="-3"/>
          <w:szCs w:val="20"/>
          <w:u w:val="single"/>
        </w:rPr>
        <w:t>MR JUSTICE LAVENDER</w:t>
      </w:r>
    </w:p>
    <w:p w14:paraId="769889FB" w14:textId="77777777" w:rsidR="001C46D1" w:rsidRPr="001C46D1" w:rsidRDefault="001C46D1" w:rsidP="001C46D1">
      <w:pPr>
        <w:suppressAutoHyphens/>
        <w:spacing w:after="0" w:line="240" w:lineRule="auto"/>
        <w:jc w:val="center"/>
        <w:rPr>
          <w:rFonts w:eastAsia="Times New Roman" w:cs="Times New Roman"/>
          <w:spacing w:val="-3"/>
          <w:szCs w:val="24"/>
        </w:rPr>
      </w:pPr>
      <w:r w:rsidRPr="001C46D1">
        <w:rPr>
          <w:rFonts w:eastAsia="Times New Roman" w:cs="Times New Roman"/>
          <w:spacing w:val="-3"/>
          <w:szCs w:val="24"/>
        </w:rPr>
        <w:t>- - - - - - - - - - - - - - - - - - - - -</w:t>
      </w:r>
    </w:p>
    <w:p w14:paraId="54F26921" w14:textId="77777777" w:rsidR="001C46D1" w:rsidRPr="001C46D1" w:rsidRDefault="001C46D1" w:rsidP="001C46D1">
      <w:pPr>
        <w:suppressAutoHyphens/>
        <w:spacing w:after="0" w:line="240" w:lineRule="auto"/>
        <w:jc w:val="center"/>
        <w:rPr>
          <w:rFonts w:eastAsia="Times New Roman" w:cs="Times New Roman"/>
          <w:b/>
          <w:spacing w:val="-3"/>
          <w:szCs w:val="24"/>
        </w:rPr>
      </w:pPr>
      <w:r w:rsidRPr="001C46D1">
        <w:rPr>
          <w:rFonts w:eastAsia="Times New Roman" w:cs="Times New Roman"/>
          <w:b/>
          <w:spacing w:val="-3"/>
          <w:szCs w:val="24"/>
        </w:rPr>
        <w:t>Between:</w:t>
      </w:r>
    </w:p>
    <w:p w14:paraId="72B7F612" w14:textId="77777777" w:rsidR="001C46D1" w:rsidRPr="001C46D1" w:rsidRDefault="001C46D1" w:rsidP="001C46D1">
      <w:pPr>
        <w:suppressAutoHyphens/>
        <w:spacing w:after="0" w:line="240" w:lineRule="auto"/>
        <w:rPr>
          <w:rFonts w:eastAsia="Times New Roman" w:cs="Times New Roman"/>
          <w:b/>
          <w:spacing w:val="-3"/>
          <w:szCs w:val="24"/>
        </w:rPr>
      </w:pPr>
    </w:p>
    <w:tbl>
      <w:tblPr>
        <w:tblW w:w="9126" w:type="dxa"/>
        <w:jc w:val="center"/>
        <w:tblLayout w:type="fixed"/>
        <w:tblLook w:val="0000" w:firstRow="0" w:lastRow="0" w:firstColumn="0" w:lastColumn="0" w:noHBand="0" w:noVBand="0"/>
      </w:tblPr>
      <w:tblGrid>
        <w:gridCol w:w="1467"/>
        <w:gridCol w:w="6105"/>
        <w:gridCol w:w="1554"/>
      </w:tblGrid>
      <w:tr w:rsidR="001C46D1" w:rsidRPr="001C46D1" w14:paraId="7EE01B9A" w14:textId="77777777" w:rsidTr="064C8778">
        <w:trPr>
          <w:jc w:val="center"/>
        </w:trPr>
        <w:tc>
          <w:tcPr>
            <w:tcW w:w="1467" w:type="dxa"/>
          </w:tcPr>
          <w:p w14:paraId="1667FDA3" w14:textId="77777777" w:rsidR="001C46D1" w:rsidRPr="001C46D1" w:rsidRDefault="001C46D1" w:rsidP="001C46D1">
            <w:pPr>
              <w:suppressAutoHyphens/>
              <w:spacing w:after="0" w:line="240" w:lineRule="auto"/>
              <w:rPr>
                <w:rFonts w:eastAsia="Times New Roman" w:cs="Times New Roman"/>
                <w:b/>
                <w:spacing w:val="-3"/>
                <w:szCs w:val="24"/>
              </w:rPr>
            </w:pPr>
          </w:p>
        </w:tc>
        <w:tc>
          <w:tcPr>
            <w:tcW w:w="6105" w:type="dxa"/>
          </w:tcPr>
          <w:p w14:paraId="2E7A1BAD" w14:textId="7A30B17F" w:rsidR="001C46D1" w:rsidRPr="001C46D1" w:rsidRDefault="00733F51" w:rsidP="001C46D1">
            <w:pPr>
              <w:suppressAutoHyphens/>
              <w:spacing w:after="0" w:line="240" w:lineRule="auto"/>
              <w:jc w:val="center"/>
              <w:rPr>
                <w:rFonts w:eastAsia="Times New Roman" w:cs="Times New Roman"/>
                <w:b/>
                <w:spacing w:val="-3"/>
                <w:szCs w:val="24"/>
              </w:rPr>
            </w:pPr>
            <w:r>
              <w:rPr>
                <w:rFonts w:eastAsia="Times New Roman" w:cs="Times New Roman"/>
                <w:b/>
                <w:spacing w:val="-3"/>
                <w:szCs w:val="24"/>
              </w:rPr>
              <w:t>SGI LEGAL LLP</w:t>
            </w:r>
          </w:p>
        </w:tc>
        <w:tc>
          <w:tcPr>
            <w:tcW w:w="1554" w:type="dxa"/>
          </w:tcPr>
          <w:p w14:paraId="0109F84D" w14:textId="77777777" w:rsidR="001C46D1" w:rsidRDefault="001C46D1" w:rsidP="001C46D1">
            <w:pPr>
              <w:suppressAutoHyphens/>
              <w:spacing w:after="0" w:line="240" w:lineRule="auto"/>
              <w:jc w:val="right"/>
              <w:rPr>
                <w:rFonts w:eastAsia="Times New Roman" w:cs="Times New Roman"/>
                <w:b/>
                <w:spacing w:val="-3"/>
                <w:szCs w:val="20"/>
                <w:u w:val="single"/>
              </w:rPr>
            </w:pPr>
          </w:p>
          <w:p w14:paraId="3C797C68" w14:textId="31BB9D70" w:rsidR="00033E96" w:rsidRDefault="00733F51" w:rsidP="001C46D1">
            <w:pPr>
              <w:suppressAutoHyphens/>
              <w:spacing w:after="0" w:line="240" w:lineRule="auto"/>
              <w:jc w:val="right"/>
              <w:rPr>
                <w:rFonts w:eastAsia="Times New Roman" w:cs="Times New Roman"/>
                <w:b/>
                <w:spacing w:val="-3"/>
                <w:szCs w:val="20"/>
                <w:u w:val="single"/>
              </w:rPr>
            </w:pPr>
            <w:r>
              <w:rPr>
                <w:rFonts w:eastAsia="Times New Roman" w:cs="Times New Roman"/>
                <w:b/>
                <w:spacing w:val="-3"/>
                <w:szCs w:val="20"/>
                <w:u w:val="single"/>
              </w:rPr>
              <w:t>Defendant</w:t>
            </w:r>
            <w:r w:rsidR="00033E96">
              <w:rPr>
                <w:rFonts w:eastAsia="Times New Roman" w:cs="Times New Roman"/>
                <w:b/>
                <w:spacing w:val="-3"/>
                <w:szCs w:val="20"/>
                <w:u w:val="single"/>
              </w:rPr>
              <w:t>/</w:t>
            </w:r>
          </w:p>
          <w:p w14:paraId="1D847DF0" w14:textId="447710B9" w:rsidR="001C46D1" w:rsidRPr="001C46D1" w:rsidRDefault="004471DD" w:rsidP="001C46D1">
            <w:pPr>
              <w:suppressAutoHyphens/>
              <w:spacing w:after="0" w:line="240" w:lineRule="auto"/>
              <w:jc w:val="right"/>
              <w:rPr>
                <w:rFonts w:eastAsia="Times New Roman" w:cs="Times New Roman"/>
                <w:b/>
                <w:spacing w:val="-3"/>
                <w:szCs w:val="20"/>
                <w:u w:val="single"/>
              </w:rPr>
            </w:pPr>
            <w:r>
              <w:rPr>
                <w:rFonts w:eastAsia="Times New Roman" w:cs="Times New Roman"/>
                <w:b/>
                <w:spacing w:val="-3"/>
                <w:szCs w:val="20"/>
                <w:u w:val="single"/>
              </w:rPr>
              <w:t>Appella</w:t>
            </w:r>
            <w:r w:rsidR="00033E96">
              <w:rPr>
                <w:rFonts w:eastAsia="Times New Roman" w:cs="Times New Roman"/>
                <w:b/>
                <w:spacing w:val="-3"/>
                <w:szCs w:val="20"/>
                <w:u w:val="single"/>
              </w:rPr>
              <w:t>nt</w:t>
            </w:r>
          </w:p>
        </w:tc>
      </w:tr>
      <w:tr w:rsidR="001C46D1" w:rsidRPr="001C46D1" w14:paraId="5609CF78" w14:textId="77777777" w:rsidTr="064C8778">
        <w:trPr>
          <w:jc w:val="center"/>
        </w:trPr>
        <w:tc>
          <w:tcPr>
            <w:tcW w:w="1467" w:type="dxa"/>
          </w:tcPr>
          <w:p w14:paraId="768FE4B8" w14:textId="77777777" w:rsidR="001C46D1" w:rsidRPr="001C46D1" w:rsidRDefault="001C46D1" w:rsidP="001C46D1">
            <w:pPr>
              <w:suppressAutoHyphens/>
              <w:spacing w:after="0" w:line="240" w:lineRule="auto"/>
              <w:rPr>
                <w:rFonts w:eastAsia="Times New Roman" w:cs="Times New Roman"/>
                <w:b/>
                <w:spacing w:val="-3"/>
                <w:szCs w:val="24"/>
              </w:rPr>
            </w:pPr>
          </w:p>
        </w:tc>
        <w:tc>
          <w:tcPr>
            <w:tcW w:w="6105" w:type="dxa"/>
          </w:tcPr>
          <w:p w14:paraId="094657C4" w14:textId="77777777" w:rsidR="001C46D1" w:rsidRPr="001C46D1" w:rsidRDefault="001C46D1" w:rsidP="001C46D1">
            <w:pPr>
              <w:suppressAutoHyphens/>
              <w:spacing w:after="0" w:line="240" w:lineRule="auto"/>
              <w:jc w:val="center"/>
              <w:rPr>
                <w:rFonts w:eastAsia="Times New Roman" w:cs="Times New Roman"/>
                <w:b/>
                <w:spacing w:val="-3"/>
                <w:szCs w:val="24"/>
              </w:rPr>
            </w:pPr>
            <w:r w:rsidRPr="001C46D1">
              <w:rPr>
                <w:rFonts w:eastAsia="Times New Roman" w:cs="Times New Roman"/>
                <w:b/>
                <w:spacing w:val="-3"/>
                <w:szCs w:val="24"/>
              </w:rPr>
              <w:t>- and -</w:t>
            </w:r>
          </w:p>
        </w:tc>
        <w:tc>
          <w:tcPr>
            <w:tcW w:w="1554" w:type="dxa"/>
          </w:tcPr>
          <w:p w14:paraId="6AA1A37D" w14:textId="77777777" w:rsidR="001C46D1" w:rsidRPr="001C46D1" w:rsidRDefault="001C46D1" w:rsidP="001C46D1">
            <w:pPr>
              <w:suppressAutoHyphens/>
              <w:spacing w:after="0" w:line="240" w:lineRule="auto"/>
              <w:jc w:val="right"/>
              <w:rPr>
                <w:rFonts w:eastAsia="Times New Roman" w:cs="Times New Roman"/>
                <w:b/>
                <w:spacing w:val="-3"/>
                <w:szCs w:val="20"/>
                <w:u w:val="single"/>
              </w:rPr>
            </w:pPr>
          </w:p>
        </w:tc>
      </w:tr>
      <w:tr w:rsidR="001C46D1" w:rsidRPr="001C46D1" w14:paraId="0F28C45B" w14:textId="77777777" w:rsidTr="064C8778">
        <w:trPr>
          <w:jc w:val="center"/>
        </w:trPr>
        <w:tc>
          <w:tcPr>
            <w:tcW w:w="1467" w:type="dxa"/>
          </w:tcPr>
          <w:p w14:paraId="51691F5C" w14:textId="77777777" w:rsidR="001C46D1" w:rsidRPr="001C46D1" w:rsidRDefault="001C46D1" w:rsidP="001C46D1">
            <w:pPr>
              <w:suppressAutoHyphens/>
              <w:spacing w:after="0" w:line="240" w:lineRule="auto"/>
              <w:rPr>
                <w:rFonts w:eastAsia="Times New Roman" w:cs="Times New Roman"/>
                <w:b/>
                <w:spacing w:val="-3"/>
                <w:szCs w:val="24"/>
              </w:rPr>
            </w:pPr>
          </w:p>
        </w:tc>
        <w:tc>
          <w:tcPr>
            <w:tcW w:w="6105" w:type="dxa"/>
          </w:tcPr>
          <w:p w14:paraId="083830A4" w14:textId="77777777" w:rsidR="001C46D1" w:rsidRDefault="001C46D1" w:rsidP="001C46D1">
            <w:pPr>
              <w:suppressAutoHyphens/>
              <w:spacing w:after="0" w:line="240" w:lineRule="auto"/>
              <w:jc w:val="center"/>
              <w:rPr>
                <w:rFonts w:eastAsia="Times New Roman" w:cs="Times New Roman"/>
                <w:b/>
                <w:spacing w:val="-3"/>
                <w:szCs w:val="24"/>
              </w:rPr>
            </w:pPr>
          </w:p>
          <w:p w14:paraId="4C4D1702" w14:textId="33557513" w:rsidR="004471DD" w:rsidRPr="001C46D1" w:rsidRDefault="00857777" w:rsidP="004471DD">
            <w:pPr>
              <w:suppressAutoHyphens/>
              <w:spacing w:after="0" w:line="240" w:lineRule="auto"/>
              <w:jc w:val="center"/>
              <w:rPr>
                <w:rFonts w:eastAsia="Times New Roman" w:cs="Times New Roman"/>
                <w:b/>
                <w:spacing w:val="-3"/>
                <w:szCs w:val="24"/>
              </w:rPr>
            </w:pPr>
            <w:r>
              <w:rPr>
                <w:rFonts w:eastAsia="Times New Roman" w:cs="Times New Roman"/>
                <w:b/>
                <w:spacing w:val="-3"/>
                <w:szCs w:val="24"/>
              </w:rPr>
              <w:t>Mrs MARTA KARATYSZ</w:t>
            </w:r>
          </w:p>
          <w:p w14:paraId="731A493B" w14:textId="26C9612D" w:rsidR="001C46D1" w:rsidRPr="001C46D1" w:rsidRDefault="001C46D1" w:rsidP="001C46D1">
            <w:pPr>
              <w:suppressAutoHyphens/>
              <w:spacing w:after="0" w:line="240" w:lineRule="auto"/>
              <w:jc w:val="center"/>
              <w:rPr>
                <w:rFonts w:eastAsia="Times New Roman" w:cs="Times New Roman"/>
                <w:b/>
                <w:spacing w:val="-3"/>
                <w:szCs w:val="24"/>
              </w:rPr>
            </w:pPr>
          </w:p>
        </w:tc>
        <w:tc>
          <w:tcPr>
            <w:tcW w:w="1554" w:type="dxa"/>
          </w:tcPr>
          <w:p w14:paraId="2864D1FC" w14:textId="77777777" w:rsidR="001C46D1" w:rsidRPr="001C46D1" w:rsidRDefault="001C46D1" w:rsidP="001C46D1">
            <w:pPr>
              <w:suppressAutoHyphens/>
              <w:spacing w:after="0" w:line="240" w:lineRule="auto"/>
              <w:jc w:val="right"/>
              <w:rPr>
                <w:rFonts w:eastAsia="Times New Roman" w:cs="Times New Roman"/>
                <w:b/>
                <w:spacing w:val="-3"/>
                <w:szCs w:val="20"/>
                <w:u w:val="single"/>
              </w:rPr>
            </w:pPr>
          </w:p>
          <w:p w14:paraId="4282E54C" w14:textId="77777777" w:rsidR="001C46D1" w:rsidRDefault="001C46D1" w:rsidP="001C46D1">
            <w:pPr>
              <w:suppressAutoHyphens/>
              <w:spacing w:after="0" w:line="240" w:lineRule="auto"/>
              <w:jc w:val="right"/>
              <w:rPr>
                <w:rFonts w:eastAsia="Times New Roman" w:cs="Times New Roman"/>
                <w:b/>
                <w:spacing w:val="-3"/>
                <w:szCs w:val="20"/>
                <w:u w:val="single"/>
              </w:rPr>
            </w:pPr>
          </w:p>
          <w:p w14:paraId="0BA629D3" w14:textId="29678C58" w:rsidR="001C46D1" w:rsidRPr="001C46D1" w:rsidRDefault="3403A9AC" w:rsidP="403B287E">
            <w:pPr>
              <w:suppressAutoHyphens/>
              <w:spacing w:after="0" w:line="240" w:lineRule="auto"/>
              <w:jc w:val="right"/>
              <w:rPr>
                <w:rFonts w:eastAsia="Times New Roman" w:cs="Times New Roman"/>
                <w:b/>
                <w:bCs/>
                <w:u w:val="single"/>
              </w:rPr>
            </w:pPr>
            <w:r w:rsidRPr="403B287E">
              <w:rPr>
                <w:rFonts w:eastAsia="Times New Roman" w:cs="Times New Roman"/>
                <w:b/>
                <w:bCs/>
                <w:spacing w:val="-3"/>
                <w:u w:val="single"/>
              </w:rPr>
              <w:t>Claim</w:t>
            </w:r>
            <w:r w:rsidR="001C46D1" w:rsidRPr="403B287E">
              <w:rPr>
                <w:rFonts w:eastAsia="Times New Roman" w:cs="Times New Roman"/>
                <w:b/>
                <w:bCs/>
                <w:spacing w:val="-3"/>
                <w:u w:val="single"/>
              </w:rPr>
              <w:t>ant</w:t>
            </w:r>
            <w:r w:rsidR="005840FF">
              <w:rPr>
                <w:rFonts w:eastAsia="Times New Roman" w:cs="Times New Roman"/>
                <w:b/>
                <w:bCs/>
                <w:spacing w:val="-3"/>
                <w:u w:val="single"/>
              </w:rPr>
              <w:t>/</w:t>
            </w:r>
          </w:p>
          <w:p w14:paraId="3ED8685E" w14:textId="047FC631" w:rsidR="001C46D1" w:rsidRPr="001C46D1" w:rsidRDefault="004471DD" w:rsidP="403B287E">
            <w:pPr>
              <w:suppressAutoHyphens/>
              <w:spacing w:after="0" w:line="240" w:lineRule="auto"/>
              <w:jc w:val="right"/>
              <w:rPr>
                <w:rFonts w:eastAsia="Times New Roman" w:cs="Times New Roman"/>
                <w:b/>
                <w:bCs/>
                <w:spacing w:val="-3"/>
                <w:u w:val="single"/>
              </w:rPr>
            </w:pPr>
            <w:r w:rsidRPr="403B287E">
              <w:rPr>
                <w:rFonts w:eastAsia="Times New Roman" w:cs="Times New Roman"/>
                <w:b/>
                <w:bCs/>
                <w:spacing w:val="-3"/>
                <w:u w:val="single"/>
              </w:rPr>
              <w:t>Respond</w:t>
            </w:r>
            <w:r w:rsidR="446DD8BF" w:rsidRPr="403B287E">
              <w:rPr>
                <w:rFonts w:eastAsia="Times New Roman" w:cs="Times New Roman"/>
                <w:b/>
                <w:bCs/>
                <w:spacing w:val="-3"/>
                <w:u w:val="single"/>
              </w:rPr>
              <w:t>e</w:t>
            </w:r>
            <w:r w:rsidR="00033E96" w:rsidRPr="403B287E">
              <w:rPr>
                <w:rFonts w:eastAsia="Times New Roman" w:cs="Times New Roman"/>
                <w:b/>
                <w:bCs/>
                <w:spacing w:val="-3"/>
                <w:u w:val="single"/>
              </w:rPr>
              <w:t>nt</w:t>
            </w:r>
          </w:p>
        </w:tc>
      </w:tr>
    </w:tbl>
    <w:p w14:paraId="2A01813F" w14:textId="77777777" w:rsidR="001C46D1" w:rsidRPr="001C46D1" w:rsidRDefault="001C46D1" w:rsidP="001C46D1">
      <w:pPr>
        <w:suppressAutoHyphens/>
        <w:spacing w:after="0" w:line="240" w:lineRule="auto"/>
        <w:rPr>
          <w:rFonts w:eastAsia="Times New Roman" w:cs="Times New Roman"/>
          <w:b/>
          <w:spacing w:val="-3"/>
          <w:szCs w:val="24"/>
        </w:rPr>
      </w:pPr>
    </w:p>
    <w:p w14:paraId="16C80B7B" w14:textId="77777777" w:rsidR="001C46D1" w:rsidRPr="001C46D1" w:rsidRDefault="001C46D1" w:rsidP="001C46D1">
      <w:pPr>
        <w:suppressAutoHyphens/>
        <w:spacing w:after="0" w:line="240" w:lineRule="auto"/>
        <w:jc w:val="center"/>
        <w:rPr>
          <w:rFonts w:eastAsia="Times New Roman" w:cs="Times New Roman"/>
          <w:spacing w:val="-3"/>
          <w:szCs w:val="24"/>
        </w:rPr>
      </w:pPr>
      <w:r w:rsidRPr="001C46D1">
        <w:rPr>
          <w:rFonts w:eastAsia="Times New Roman" w:cs="Times New Roman"/>
          <w:spacing w:val="-3"/>
          <w:szCs w:val="24"/>
        </w:rPr>
        <w:t>- - - - - - - - - - - - - - - - - - - - -</w:t>
      </w:r>
    </w:p>
    <w:p w14:paraId="136D2D00" w14:textId="77777777" w:rsidR="001C46D1" w:rsidRPr="001C46D1" w:rsidRDefault="001C46D1" w:rsidP="001C46D1">
      <w:pPr>
        <w:suppressAutoHyphens/>
        <w:spacing w:after="0" w:line="240" w:lineRule="auto"/>
        <w:jc w:val="center"/>
        <w:rPr>
          <w:rFonts w:eastAsia="Times New Roman" w:cs="Times New Roman"/>
          <w:spacing w:val="-3"/>
          <w:szCs w:val="24"/>
        </w:rPr>
      </w:pPr>
      <w:r w:rsidRPr="001C46D1">
        <w:rPr>
          <w:rFonts w:eastAsia="Times New Roman" w:cs="Times New Roman"/>
          <w:spacing w:val="-3"/>
          <w:szCs w:val="24"/>
        </w:rPr>
        <w:t>- - - - - - - - - - - - - - - - - - - - -</w:t>
      </w:r>
    </w:p>
    <w:p w14:paraId="5E641F22" w14:textId="77777777" w:rsidR="001C46D1" w:rsidRPr="001C46D1" w:rsidRDefault="001C46D1" w:rsidP="001C46D1">
      <w:pPr>
        <w:suppressAutoHyphens/>
        <w:spacing w:after="0" w:line="240" w:lineRule="auto"/>
        <w:jc w:val="center"/>
        <w:rPr>
          <w:rFonts w:eastAsia="Times New Roman" w:cs="Times New Roman"/>
          <w:spacing w:val="-3"/>
          <w:szCs w:val="24"/>
        </w:rPr>
      </w:pPr>
    </w:p>
    <w:p w14:paraId="420B35CA" w14:textId="17485BE3" w:rsidR="001C46D1" w:rsidRPr="001C46D1" w:rsidRDefault="001C46D1" w:rsidP="001C46D1">
      <w:pPr>
        <w:suppressAutoHyphens/>
        <w:spacing w:after="0" w:line="240" w:lineRule="auto"/>
        <w:jc w:val="center"/>
        <w:rPr>
          <w:rFonts w:eastAsia="Times New Roman" w:cs="Times New Roman"/>
          <w:b/>
          <w:spacing w:val="-3"/>
          <w:szCs w:val="24"/>
        </w:rPr>
      </w:pPr>
      <w:r w:rsidRPr="001C46D1">
        <w:rPr>
          <w:rFonts w:eastAsia="Times New Roman" w:cs="Times New Roman"/>
          <w:b/>
          <w:spacing w:val="-3"/>
          <w:szCs w:val="24"/>
        </w:rPr>
        <w:t xml:space="preserve"> </w:t>
      </w:r>
      <w:r w:rsidR="00087BB0">
        <w:rPr>
          <w:rFonts w:eastAsia="Times New Roman" w:cs="Times New Roman"/>
          <w:b/>
          <w:spacing w:val="-3"/>
          <w:szCs w:val="24"/>
        </w:rPr>
        <w:t xml:space="preserve">Robert Marven QC </w:t>
      </w:r>
      <w:r w:rsidRPr="001C46D1">
        <w:rPr>
          <w:rFonts w:eastAsia="Times New Roman" w:cs="Times New Roman"/>
          <w:bCs/>
          <w:spacing w:val="-3"/>
          <w:szCs w:val="24"/>
        </w:rPr>
        <w:t>(instructed by</w:t>
      </w:r>
      <w:r w:rsidR="00087BB0">
        <w:rPr>
          <w:rFonts w:eastAsia="Times New Roman" w:cs="Times New Roman"/>
          <w:bCs/>
          <w:spacing w:val="-3"/>
          <w:szCs w:val="24"/>
        </w:rPr>
        <w:t xml:space="preserve"> the</w:t>
      </w:r>
      <w:r w:rsidRPr="001C46D1">
        <w:rPr>
          <w:rFonts w:eastAsia="Times New Roman" w:cs="Times New Roman"/>
          <w:b/>
          <w:spacing w:val="-3"/>
          <w:szCs w:val="24"/>
        </w:rPr>
        <w:t xml:space="preserve"> </w:t>
      </w:r>
      <w:r w:rsidR="00087BB0">
        <w:rPr>
          <w:rFonts w:eastAsia="Times New Roman" w:cs="Times New Roman"/>
          <w:b/>
          <w:spacing w:val="-3"/>
          <w:szCs w:val="24"/>
        </w:rPr>
        <w:t>Appellant</w:t>
      </w:r>
      <w:r w:rsidRPr="001C46D1">
        <w:rPr>
          <w:rFonts w:eastAsia="Times New Roman" w:cs="Times New Roman"/>
          <w:bCs/>
          <w:spacing w:val="-3"/>
          <w:szCs w:val="24"/>
        </w:rPr>
        <w:t>) for the</w:t>
      </w:r>
      <w:r w:rsidRPr="001C46D1">
        <w:rPr>
          <w:rFonts w:eastAsia="Times New Roman" w:cs="Times New Roman"/>
          <w:spacing w:val="-3"/>
          <w:szCs w:val="24"/>
        </w:rPr>
        <w:t xml:space="preserve"> </w:t>
      </w:r>
      <w:r w:rsidR="002E4A86">
        <w:rPr>
          <w:rFonts w:eastAsia="Times New Roman" w:cs="Times New Roman"/>
          <w:b/>
          <w:bCs/>
          <w:spacing w:val="-3"/>
          <w:szCs w:val="24"/>
        </w:rPr>
        <w:t>Appell</w:t>
      </w:r>
      <w:r w:rsidRPr="001C46D1">
        <w:rPr>
          <w:rFonts w:eastAsia="Times New Roman" w:cs="Times New Roman"/>
          <w:b/>
          <w:bCs/>
          <w:spacing w:val="-3"/>
          <w:szCs w:val="24"/>
        </w:rPr>
        <w:t>ant</w:t>
      </w:r>
    </w:p>
    <w:p w14:paraId="431B6970" w14:textId="5E89EE7D" w:rsidR="001C46D1" w:rsidRPr="001C46D1" w:rsidRDefault="001C46D1" w:rsidP="403B287E">
      <w:pPr>
        <w:suppressAutoHyphens/>
        <w:spacing w:after="0" w:line="240" w:lineRule="auto"/>
        <w:jc w:val="center"/>
        <w:rPr>
          <w:rFonts w:eastAsia="Times New Roman" w:cs="Times New Roman"/>
          <w:spacing w:val="-3"/>
        </w:rPr>
      </w:pPr>
      <w:r w:rsidRPr="403B287E">
        <w:rPr>
          <w:rFonts w:eastAsia="Times New Roman" w:cs="Times New Roman"/>
          <w:b/>
          <w:bCs/>
          <w:spacing w:val="-3"/>
        </w:rPr>
        <w:t xml:space="preserve"> </w:t>
      </w:r>
      <w:r w:rsidR="00A966A9" w:rsidRPr="403B287E">
        <w:rPr>
          <w:rFonts w:eastAsia="Times New Roman" w:cs="Times New Roman"/>
          <w:b/>
          <w:bCs/>
          <w:spacing w:val="-3"/>
        </w:rPr>
        <w:t xml:space="preserve">PJ Kirby QC </w:t>
      </w:r>
      <w:r w:rsidR="00A966A9" w:rsidRPr="403B287E">
        <w:rPr>
          <w:rFonts w:eastAsia="Times New Roman" w:cs="Times New Roman"/>
          <w:spacing w:val="-3"/>
        </w:rPr>
        <w:t xml:space="preserve">and </w:t>
      </w:r>
      <w:r w:rsidR="00A966A9" w:rsidRPr="403B287E">
        <w:rPr>
          <w:rFonts w:eastAsia="Times New Roman" w:cs="Times New Roman"/>
          <w:b/>
          <w:bCs/>
          <w:spacing w:val="-3"/>
        </w:rPr>
        <w:t xml:space="preserve">Robin Dunne </w:t>
      </w:r>
      <w:r w:rsidRPr="403B287E">
        <w:rPr>
          <w:rFonts w:eastAsia="Times New Roman" w:cs="Times New Roman"/>
          <w:spacing w:val="-3"/>
        </w:rPr>
        <w:t>(instructed by</w:t>
      </w:r>
      <w:r w:rsidR="00A966A9" w:rsidRPr="403B287E">
        <w:rPr>
          <w:rFonts w:eastAsia="Times New Roman" w:cs="Times New Roman"/>
          <w:spacing w:val="-3"/>
        </w:rPr>
        <w:t xml:space="preserve"> </w:t>
      </w:r>
      <w:r w:rsidR="003F66AF" w:rsidRPr="403B287E">
        <w:rPr>
          <w:rFonts w:eastAsia="Times New Roman" w:cs="Times New Roman"/>
          <w:b/>
          <w:bCs/>
          <w:spacing w:val="-3"/>
        </w:rPr>
        <w:t xml:space="preserve">Clear Legal Ltd t/a </w:t>
      </w:r>
      <w:r w:rsidR="00231697" w:rsidRPr="403B287E">
        <w:rPr>
          <w:rFonts w:eastAsia="Times New Roman" w:cs="Times New Roman"/>
          <w:b/>
          <w:bCs/>
          <w:spacing w:val="-3"/>
        </w:rPr>
        <w:t>checkmylegalfees.com</w:t>
      </w:r>
      <w:r w:rsidRPr="403B287E">
        <w:rPr>
          <w:rFonts w:eastAsia="Times New Roman" w:cs="Times New Roman"/>
          <w:spacing w:val="-3"/>
        </w:rPr>
        <w:t xml:space="preserve">) for the </w:t>
      </w:r>
      <w:r w:rsidR="002E4A86" w:rsidRPr="403B287E">
        <w:rPr>
          <w:rFonts w:eastAsia="Times New Roman" w:cs="Times New Roman"/>
          <w:b/>
          <w:bCs/>
          <w:spacing w:val="-3"/>
        </w:rPr>
        <w:t>Respondent</w:t>
      </w:r>
    </w:p>
    <w:p w14:paraId="0DA8CC7A" w14:textId="77777777" w:rsidR="001C46D1" w:rsidRPr="001C46D1" w:rsidRDefault="001C46D1" w:rsidP="001C46D1">
      <w:pPr>
        <w:suppressAutoHyphens/>
        <w:spacing w:after="0" w:line="240" w:lineRule="auto"/>
        <w:jc w:val="center"/>
        <w:rPr>
          <w:rFonts w:eastAsia="Times New Roman" w:cs="Times New Roman"/>
          <w:b/>
          <w:spacing w:val="-3"/>
          <w:szCs w:val="24"/>
        </w:rPr>
      </w:pPr>
    </w:p>
    <w:p w14:paraId="1FB90F2E" w14:textId="2F213CE6" w:rsidR="001C46D1" w:rsidRPr="001C46D1" w:rsidRDefault="001C46D1" w:rsidP="001C46D1">
      <w:pPr>
        <w:suppressAutoHyphens/>
        <w:spacing w:after="0" w:line="240" w:lineRule="auto"/>
        <w:jc w:val="center"/>
        <w:rPr>
          <w:rFonts w:eastAsia="Times New Roman" w:cs="Times New Roman"/>
          <w:spacing w:val="-3"/>
          <w:szCs w:val="24"/>
        </w:rPr>
      </w:pPr>
      <w:r w:rsidRPr="001C46D1">
        <w:rPr>
          <w:rFonts w:eastAsia="Times New Roman" w:cs="Times New Roman"/>
          <w:spacing w:val="-3"/>
          <w:szCs w:val="24"/>
        </w:rPr>
        <w:t xml:space="preserve">Hearing date: </w:t>
      </w:r>
      <w:r w:rsidR="00857777">
        <w:rPr>
          <w:rFonts w:eastAsia="Times New Roman" w:cs="Times New Roman"/>
          <w:spacing w:val="-3"/>
          <w:szCs w:val="24"/>
        </w:rPr>
        <w:t>17 November</w:t>
      </w:r>
      <w:r w:rsidR="004471DD">
        <w:rPr>
          <w:rFonts w:eastAsia="Times New Roman" w:cs="Times New Roman"/>
          <w:spacing w:val="-3"/>
          <w:szCs w:val="24"/>
        </w:rPr>
        <w:t xml:space="preserve"> 2020</w:t>
      </w:r>
    </w:p>
    <w:p w14:paraId="19882DA8" w14:textId="77777777" w:rsidR="001C46D1" w:rsidRPr="001C46D1" w:rsidRDefault="001C46D1" w:rsidP="001C46D1">
      <w:pPr>
        <w:suppressAutoHyphens/>
        <w:spacing w:after="0" w:line="240" w:lineRule="auto"/>
        <w:jc w:val="center"/>
        <w:rPr>
          <w:rFonts w:eastAsia="Times New Roman" w:cs="Times New Roman"/>
          <w:spacing w:val="-3"/>
          <w:szCs w:val="24"/>
        </w:rPr>
      </w:pPr>
      <w:r w:rsidRPr="001C46D1">
        <w:rPr>
          <w:rFonts w:eastAsia="Times New Roman" w:cs="Times New Roman"/>
          <w:spacing w:val="-3"/>
          <w:szCs w:val="24"/>
        </w:rPr>
        <w:t>- - - - - - - - - - - - - - - - - - - - -</w:t>
      </w:r>
    </w:p>
    <w:p w14:paraId="184C469F" w14:textId="181A1CD6" w:rsidR="001C46D1" w:rsidRDefault="001C46D1" w:rsidP="001C46D1">
      <w:pPr>
        <w:spacing w:after="0" w:line="240" w:lineRule="auto"/>
        <w:jc w:val="center"/>
        <w:rPr>
          <w:rFonts w:eastAsia="Times New Roman" w:cs="Times New Roman"/>
          <w:b/>
          <w:sz w:val="36"/>
          <w:szCs w:val="20"/>
        </w:rPr>
      </w:pPr>
      <w:r w:rsidRPr="001C46D1">
        <w:rPr>
          <w:rFonts w:eastAsia="Times New Roman" w:cs="Times New Roman"/>
          <w:b/>
          <w:sz w:val="36"/>
          <w:szCs w:val="20"/>
        </w:rPr>
        <w:t>JUDGMENT</w:t>
      </w:r>
    </w:p>
    <w:p w14:paraId="4AE5C968" w14:textId="77777777" w:rsidR="001C46D1" w:rsidRPr="001C46D1" w:rsidRDefault="001C46D1" w:rsidP="001C46D1">
      <w:pPr>
        <w:spacing w:after="0" w:line="240" w:lineRule="auto"/>
        <w:rPr>
          <w:rFonts w:eastAsia="Times New Roman" w:cs="Times New Roman"/>
          <w:szCs w:val="24"/>
        </w:rPr>
        <w:sectPr w:rsidR="001C46D1" w:rsidRPr="001C46D1">
          <w:footerReference w:type="default" r:id="rId11"/>
          <w:pgSz w:w="11909" w:h="16834" w:code="9"/>
          <w:pgMar w:top="720" w:right="1440" w:bottom="720" w:left="1440" w:header="720" w:footer="720" w:gutter="0"/>
          <w:pgNumType w:start="1"/>
          <w:cols w:space="720"/>
        </w:sectPr>
      </w:pPr>
    </w:p>
    <w:p w14:paraId="6C6C66FB" w14:textId="77777777" w:rsidR="001C46D1" w:rsidRPr="001C46D1" w:rsidRDefault="001C46D1" w:rsidP="00AC6944">
      <w:pPr>
        <w:spacing w:after="240" w:line="240" w:lineRule="auto"/>
        <w:rPr>
          <w:rFonts w:eastAsia="Times New Roman" w:cs="Times New Roman"/>
          <w:szCs w:val="24"/>
        </w:rPr>
      </w:pPr>
      <w:r w:rsidRPr="001C46D1">
        <w:rPr>
          <w:rFonts w:eastAsia="Times New Roman" w:cs="Times New Roman"/>
          <w:b/>
          <w:szCs w:val="24"/>
        </w:rPr>
        <w:lastRenderedPageBreak/>
        <w:t>Mr Justice Lavender:</w:t>
      </w:r>
      <w:r w:rsidRPr="001C46D1">
        <w:rPr>
          <w:rFonts w:eastAsia="Times New Roman" w:cs="Times New Roman"/>
          <w:szCs w:val="24"/>
        </w:rPr>
        <w:t xml:space="preserve"> </w:t>
      </w:r>
    </w:p>
    <w:p w14:paraId="5D7983DE" w14:textId="0939A838" w:rsidR="00AD11BC" w:rsidRPr="007E78D2" w:rsidRDefault="00AD11BC" w:rsidP="00AC6944">
      <w:pPr>
        <w:pStyle w:val="ParaLevel1"/>
        <w:numPr>
          <w:ilvl w:val="0"/>
          <w:numId w:val="0"/>
        </w:numPr>
        <w:spacing w:after="240" w:line="240" w:lineRule="auto"/>
        <w:ind w:left="720"/>
        <w:jc w:val="both"/>
        <w:rPr>
          <w:rFonts w:cs="Times New Roman"/>
          <w:b/>
          <w:bCs/>
          <w:szCs w:val="24"/>
        </w:rPr>
      </w:pPr>
      <w:r w:rsidRPr="403B287E">
        <w:rPr>
          <w:rFonts w:cs="Times New Roman"/>
          <w:b/>
          <w:bCs/>
        </w:rPr>
        <w:t>(1) Introduction</w:t>
      </w:r>
    </w:p>
    <w:p w14:paraId="7877DFEA" w14:textId="28684B87" w:rsidR="00E75324" w:rsidRPr="00E75324" w:rsidRDefault="00E75324" w:rsidP="00AC6944">
      <w:pPr>
        <w:pStyle w:val="ListParagraph"/>
        <w:numPr>
          <w:ilvl w:val="0"/>
          <w:numId w:val="15"/>
        </w:numPr>
        <w:spacing w:after="240" w:line="240" w:lineRule="auto"/>
        <w:contextualSpacing w:val="0"/>
        <w:jc w:val="both"/>
        <w:rPr>
          <w:rFonts w:eastAsia="Times New Roman" w:cs="Times New Roman"/>
          <w:szCs w:val="24"/>
        </w:rPr>
      </w:pPr>
      <w:r>
        <w:rPr>
          <w:rFonts w:cs="Times New Roman"/>
        </w:rPr>
        <w:t>This is one of a series of cases in which individuals who have brought successful claims for damages arising out of road traffic accidents have</w:t>
      </w:r>
      <w:r w:rsidR="00222DE1">
        <w:rPr>
          <w:rFonts w:cs="Times New Roman"/>
        </w:rPr>
        <w:t xml:space="preserve"> sought an assessment of their solicitors’ bill of costs</w:t>
      </w:r>
      <w:r>
        <w:rPr>
          <w:rFonts w:cs="Times New Roman"/>
        </w:rPr>
        <w:t xml:space="preserve">.  </w:t>
      </w:r>
      <w:r w:rsidR="00222DE1">
        <w:rPr>
          <w:rFonts w:cs="Times New Roman"/>
        </w:rPr>
        <w:t>T</w:t>
      </w:r>
      <w:r>
        <w:rPr>
          <w:rFonts w:cs="Times New Roman"/>
        </w:rPr>
        <w:t>he Claimant’s solicitors and counsel act for a number of claimants in such case</w:t>
      </w:r>
      <w:r w:rsidR="00222DE1">
        <w:rPr>
          <w:rFonts w:cs="Times New Roman"/>
        </w:rPr>
        <w:t>s</w:t>
      </w:r>
      <w:r>
        <w:rPr>
          <w:rFonts w:cs="Times New Roman"/>
        </w:rPr>
        <w:t xml:space="preserve">.   I decided an appeal in one such case, </w:t>
      </w:r>
      <w:r>
        <w:rPr>
          <w:rFonts w:cs="Times New Roman"/>
          <w:i/>
          <w:iCs/>
        </w:rPr>
        <w:t>Belsner v Cam Legal Services Ltd</w:t>
      </w:r>
      <w:r>
        <w:rPr>
          <w:rFonts w:cs="Times New Roman"/>
        </w:rPr>
        <w:t xml:space="preserve"> [</w:t>
      </w:r>
      <w:r w:rsidR="00CF2FB8">
        <w:rPr>
          <w:rFonts w:cs="Times New Roman"/>
        </w:rPr>
        <w:t>2020</w:t>
      </w:r>
      <w:r>
        <w:rPr>
          <w:rFonts w:cs="Times New Roman"/>
        </w:rPr>
        <w:t xml:space="preserve">] </w:t>
      </w:r>
      <w:r w:rsidR="00CF2FB8">
        <w:rPr>
          <w:rFonts w:cs="Times New Roman"/>
        </w:rPr>
        <w:t>EWHC 2755 (QB)</w:t>
      </w:r>
      <w:r w:rsidR="00222DE1">
        <w:rPr>
          <w:rFonts w:cs="Times New Roman"/>
        </w:rPr>
        <w:t>,</w:t>
      </w:r>
      <w:r w:rsidR="00CF2FB8">
        <w:rPr>
          <w:rFonts w:cs="Times New Roman"/>
        </w:rPr>
        <w:t xml:space="preserve"> </w:t>
      </w:r>
      <w:r>
        <w:rPr>
          <w:rFonts w:cs="Times New Roman"/>
        </w:rPr>
        <w:t>last year.  I have stayed</w:t>
      </w:r>
      <w:r w:rsidR="00AD5FC7">
        <w:rPr>
          <w:rFonts w:cs="Times New Roman"/>
        </w:rPr>
        <w:t xml:space="preserve"> </w:t>
      </w:r>
      <w:r w:rsidR="005840FF">
        <w:rPr>
          <w:rFonts w:cs="Times New Roman"/>
        </w:rPr>
        <w:t>a number of</w:t>
      </w:r>
      <w:r w:rsidR="00AD5FC7">
        <w:rPr>
          <w:rFonts w:cs="Times New Roman"/>
        </w:rPr>
        <w:t xml:space="preserve"> </w:t>
      </w:r>
      <w:r>
        <w:rPr>
          <w:rFonts w:cs="Times New Roman"/>
        </w:rPr>
        <w:t xml:space="preserve">similar appeals pending the outcome </w:t>
      </w:r>
      <w:r w:rsidR="00CF2FB8">
        <w:rPr>
          <w:rFonts w:cs="Times New Roman"/>
        </w:rPr>
        <w:t>of</w:t>
      </w:r>
      <w:r>
        <w:rPr>
          <w:rFonts w:cs="Times New Roman"/>
        </w:rPr>
        <w:t xml:space="preserve"> this appeal.  I </w:t>
      </w:r>
      <w:r w:rsidR="00AD5FC7">
        <w:rPr>
          <w:rFonts w:cs="Times New Roman"/>
        </w:rPr>
        <w:t xml:space="preserve">also </w:t>
      </w:r>
      <w:r>
        <w:rPr>
          <w:rFonts w:cs="Times New Roman"/>
        </w:rPr>
        <w:t xml:space="preserve">understand that a number of </w:t>
      </w:r>
      <w:r w:rsidR="00CF2FB8">
        <w:rPr>
          <w:rFonts w:cs="Times New Roman"/>
        </w:rPr>
        <w:t>similar</w:t>
      </w:r>
      <w:r>
        <w:rPr>
          <w:rFonts w:cs="Times New Roman"/>
        </w:rPr>
        <w:t xml:space="preserve"> cases are pending before </w:t>
      </w:r>
      <w:r w:rsidR="00E57DAB">
        <w:rPr>
          <w:rFonts w:cs="Times New Roman"/>
        </w:rPr>
        <w:t>District</w:t>
      </w:r>
      <w:r w:rsidR="00AD5FC7">
        <w:rPr>
          <w:rFonts w:cs="Times New Roman"/>
        </w:rPr>
        <w:t xml:space="preserve"> </w:t>
      </w:r>
      <w:r w:rsidR="00E57DAB">
        <w:rPr>
          <w:rFonts w:cs="Times New Roman"/>
        </w:rPr>
        <w:t>Judge</w:t>
      </w:r>
      <w:r w:rsidR="00AD5FC7">
        <w:rPr>
          <w:rFonts w:cs="Times New Roman"/>
        </w:rPr>
        <w:t xml:space="preserve"> Bellamy in the Sheffield </w:t>
      </w:r>
      <w:r w:rsidR="00E57DAB">
        <w:rPr>
          <w:rFonts w:cs="Times New Roman"/>
        </w:rPr>
        <w:t>District</w:t>
      </w:r>
      <w:r w:rsidR="00AD5FC7">
        <w:rPr>
          <w:rFonts w:cs="Times New Roman"/>
        </w:rPr>
        <w:t xml:space="preserve"> Registry of the High Court.</w:t>
      </w:r>
    </w:p>
    <w:p w14:paraId="01BBD1AC" w14:textId="5579850E" w:rsidR="3A6A4010" w:rsidRPr="004521D1" w:rsidRDefault="3A6A4010" w:rsidP="00AC6944">
      <w:pPr>
        <w:pStyle w:val="ListParagraph"/>
        <w:numPr>
          <w:ilvl w:val="0"/>
          <w:numId w:val="15"/>
        </w:numPr>
        <w:spacing w:after="240" w:line="240" w:lineRule="auto"/>
        <w:contextualSpacing w:val="0"/>
        <w:jc w:val="both"/>
        <w:rPr>
          <w:rFonts w:eastAsia="Times New Roman" w:cs="Times New Roman"/>
          <w:szCs w:val="24"/>
        </w:rPr>
      </w:pPr>
      <w:r w:rsidRPr="064C8778">
        <w:rPr>
          <w:rFonts w:cs="Times New Roman"/>
        </w:rPr>
        <w:t xml:space="preserve">The Defendant firm of solicitors, SGI Legal LLP, </w:t>
      </w:r>
      <w:r w:rsidR="12FF485C" w:rsidRPr="064C8778">
        <w:rPr>
          <w:rFonts w:cs="Times New Roman"/>
        </w:rPr>
        <w:t>acted for</w:t>
      </w:r>
      <w:r w:rsidRPr="064C8778">
        <w:rPr>
          <w:rFonts w:cs="Times New Roman"/>
        </w:rPr>
        <w:t xml:space="preserve"> the Claimant</w:t>
      </w:r>
      <w:r w:rsidR="005840FF">
        <w:rPr>
          <w:rFonts w:cs="Times New Roman"/>
        </w:rPr>
        <w:t>, Mrs Marta Karatysz,</w:t>
      </w:r>
      <w:r w:rsidRPr="064C8778">
        <w:rPr>
          <w:rFonts w:cs="Times New Roman"/>
        </w:rPr>
        <w:t xml:space="preserve"> in</w:t>
      </w:r>
      <w:r w:rsidR="2BBECA35" w:rsidRPr="064C8778">
        <w:rPr>
          <w:rFonts w:cs="Times New Roman"/>
        </w:rPr>
        <w:t xml:space="preserve"> respect of her claim for damages against </w:t>
      </w:r>
      <w:r w:rsidR="43C588E6" w:rsidRPr="064C8778">
        <w:rPr>
          <w:rFonts w:cs="Times New Roman"/>
        </w:rPr>
        <w:t xml:space="preserve">Mrs Siobhan Muddiman </w:t>
      </w:r>
      <w:r w:rsidR="2BBECA35" w:rsidRPr="064C8778">
        <w:rPr>
          <w:rFonts w:cs="Times New Roman"/>
        </w:rPr>
        <w:t xml:space="preserve">arising out of a road traffic accident on 27 May 2016. </w:t>
      </w:r>
    </w:p>
    <w:p w14:paraId="3ACB9E80" w14:textId="1885EDEB" w:rsidR="004471DD" w:rsidRDefault="00085D85" w:rsidP="00AC6944">
      <w:pPr>
        <w:pStyle w:val="ListParagraph"/>
        <w:numPr>
          <w:ilvl w:val="0"/>
          <w:numId w:val="15"/>
        </w:numPr>
        <w:spacing w:after="240" w:line="240" w:lineRule="auto"/>
        <w:contextualSpacing w:val="0"/>
        <w:jc w:val="both"/>
        <w:rPr>
          <w:rFonts w:cs="Times New Roman"/>
        </w:rPr>
      </w:pPr>
      <w:r w:rsidRPr="064C8778">
        <w:rPr>
          <w:rFonts w:cs="Times New Roman"/>
        </w:rPr>
        <w:t xml:space="preserve">This </w:t>
      </w:r>
      <w:r w:rsidR="71509858" w:rsidRPr="064C8778">
        <w:rPr>
          <w:rFonts w:cs="Times New Roman"/>
        </w:rPr>
        <w:t xml:space="preserve">is an appeal by the Defendant against </w:t>
      </w:r>
      <w:r w:rsidR="36C93E28" w:rsidRPr="064C8778">
        <w:rPr>
          <w:rFonts w:cs="Times New Roman"/>
        </w:rPr>
        <w:t>the</w:t>
      </w:r>
      <w:r w:rsidR="2A0D4E6E" w:rsidRPr="064C8778">
        <w:rPr>
          <w:rFonts w:cs="Times New Roman"/>
        </w:rPr>
        <w:t xml:space="preserve"> decision of D</w:t>
      </w:r>
      <w:r w:rsidR="00222DE1">
        <w:rPr>
          <w:rFonts w:cs="Times New Roman"/>
        </w:rPr>
        <w:t xml:space="preserve">istrict </w:t>
      </w:r>
      <w:r w:rsidR="2A0D4E6E" w:rsidRPr="064C8778">
        <w:rPr>
          <w:rFonts w:cs="Times New Roman"/>
        </w:rPr>
        <w:t>J</w:t>
      </w:r>
      <w:r w:rsidR="00222DE1">
        <w:rPr>
          <w:rFonts w:cs="Times New Roman"/>
        </w:rPr>
        <w:t>udge</w:t>
      </w:r>
      <w:r w:rsidR="2A0D4E6E" w:rsidRPr="064C8778">
        <w:rPr>
          <w:rFonts w:cs="Times New Roman"/>
        </w:rPr>
        <w:t xml:space="preserve"> Bellamy</w:t>
      </w:r>
      <w:r w:rsidR="71CEFFA0" w:rsidRPr="064C8778">
        <w:rPr>
          <w:rFonts w:cs="Times New Roman"/>
        </w:rPr>
        <w:t xml:space="preserve"> on 7 January 2020</w:t>
      </w:r>
      <w:r w:rsidR="6D47D682" w:rsidRPr="064C8778">
        <w:rPr>
          <w:rFonts w:cs="Times New Roman"/>
        </w:rPr>
        <w:t>:</w:t>
      </w:r>
      <w:r w:rsidR="665F9437" w:rsidRPr="064C8778">
        <w:rPr>
          <w:rFonts w:cs="Times New Roman"/>
        </w:rPr>
        <w:t xml:space="preserve"> </w:t>
      </w:r>
    </w:p>
    <w:p w14:paraId="1B84446C" w14:textId="6229953C" w:rsidR="004471DD" w:rsidRDefault="60704F07" w:rsidP="00AC6944">
      <w:pPr>
        <w:pStyle w:val="ListParagraph"/>
        <w:numPr>
          <w:ilvl w:val="1"/>
          <w:numId w:val="15"/>
        </w:numPr>
        <w:spacing w:after="240" w:line="240" w:lineRule="auto"/>
        <w:contextualSpacing w:val="0"/>
        <w:jc w:val="both"/>
      </w:pPr>
      <w:r w:rsidRPr="064C8778">
        <w:rPr>
          <w:rFonts w:cs="Times New Roman"/>
        </w:rPr>
        <w:t xml:space="preserve">that </w:t>
      </w:r>
      <w:r w:rsidR="665F9437" w:rsidRPr="064C8778">
        <w:rPr>
          <w:rFonts w:cs="Times New Roman"/>
        </w:rPr>
        <w:t>the Defendant’s base costs</w:t>
      </w:r>
      <w:r w:rsidR="4F637761" w:rsidRPr="064C8778">
        <w:rPr>
          <w:rFonts w:cs="Times New Roman"/>
        </w:rPr>
        <w:t xml:space="preserve"> were limited to the base costs recovered from </w:t>
      </w:r>
      <w:r w:rsidR="00765690">
        <w:rPr>
          <w:rFonts w:cs="Times New Roman"/>
        </w:rPr>
        <w:t>Mrs Muddiman’s insurers, Aviva</w:t>
      </w:r>
      <w:r w:rsidR="70DA3A20" w:rsidRPr="064C8778">
        <w:rPr>
          <w:rFonts w:cs="Times New Roman"/>
        </w:rPr>
        <w:t>; and</w:t>
      </w:r>
    </w:p>
    <w:p w14:paraId="56BA8840" w14:textId="2E5F4D6C" w:rsidR="56E65FCD" w:rsidRPr="00833FA4" w:rsidRDefault="56E65FCD" w:rsidP="00AC6944">
      <w:pPr>
        <w:pStyle w:val="ListParagraph"/>
        <w:numPr>
          <w:ilvl w:val="1"/>
          <w:numId w:val="15"/>
        </w:numPr>
        <w:spacing w:after="240" w:line="240" w:lineRule="auto"/>
        <w:contextualSpacing w:val="0"/>
        <w:jc w:val="both"/>
      </w:pPr>
      <w:r w:rsidRPr="064C8778">
        <w:rPr>
          <w:rFonts w:cs="Times New Roman"/>
        </w:rPr>
        <w:t>that the Defendant must pay the Claimant’s costs of the assessme</w:t>
      </w:r>
      <w:r w:rsidR="4801A244" w:rsidRPr="064C8778">
        <w:rPr>
          <w:rFonts w:cs="Times New Roman"/>
        </w:rPr>
        <w:t>n</w:t>
      </w:r>
      <w:r w:rsidRPr="064C8778">
        <w:rPr>
          <w:rFonts w:cs="Times New Roman"/>
        </w:rPr>
        <w:t>t of the Defenda</w:t>
      </w:r>
      <w:r w:rsidR="13B297BB" w:rsidRPr="064C8778">
        <w:rPr>
          <w:rFonts w:cs="Times New Roman"/>
        </w:rPr>
        <w:t>n</w:t>
      </w:r>
      <w:r w:rsidRPr="064C8778">
        <w:rPr>
          <w:rFonts w:cs="Times New Roman"/>
        </w:rPr>
        <w:t xml:space="preserve">t’s bill, on the basis that the amount </w:t>
      </w:r>
      <w:r w:rsidR="2E9EADDF" w:rsidRPr="064C8778">
        <w:rPr>
          <w:rFonts w:cs="Times New Roman"/>
        </w:rPr>
        <w:t>of</w:t>
      </w:r>
      <w:r w:rsidRPr="064C8778">
        <w:rPr>
          <w:rFonts w:cs="Times New Roman"/>
        </w:rPr>
        <w:t xml:space="preserve"> the bill had be</w:t>
      </w:r>
      <w:r w:rsidR="5F50DD52" w:rsidRPr="064C8778">
        <w:rPr>
          <w:rFonts w:cs="Times New Roman"/>
        </w:rPr>
        <w:t>en</w:t>
      </w:r>
      <w:r w:rsidRPr="064C8778">
        <w:rPr>
          <w:rFonts w:cs="Times New Roman"/>
        </w:rPr>
        <w:t xml:space="preserve"> reduced by more than one fifth.</w:t>
      </w:r>
    </w:p>
    <w:p w14:paraId="0198CD96" w14:textId="49CA9C3E" w:rsidR="000C6DC6" w:rsidRDefault="000C6DC6" w:rsidP="00AC6944">
      <w:pPr>
        <w:pStyle w:val="ListParagraph"/>
        <w:numPr>
          <w:ilvl w:val="0"/>
          <w:numId w:val="15"/>
        </w:numPr>
        <w:spacing w:after="240" w:line="240" w:lineRule="auto"/>
        <w:jc w:val="both"/>
      </w:pPr>
      <w:r w:rsidRPr="064C8778">
        <w:rPr>
          <w:rFonts w:cs="Times New Roman"/>
        </w:rPr>
        <w:t xml:space="preserve">In addition, </w:t>
      </w:r>
      <w:r w:rsidR="00025418">
        <w:rPr>
          <w:rFonts w:cs="Times New Roman"/>
        </w:rPr>
        <w:t xml:space="preserve">shortly before the hearing </w:t>
      </w:r>
      <w:r w:rsidRPr="064C8778">
        <w:rPr>
          <w:rFonts w:cs="Times New Roman"/>
        </w:rPr>
        <w:t xml:space="preserve">the Claimant applied for an extension of the time limited for filing a </w:t>
      </w:r>
      <w:r w:rsidR="001D3F34">
        <w:rPr>
          <w:rFonts w:cs="Times New Roman"/>
        </w:rPr>
        <w:t>r</w:t>
      </w:r>
      <w:r w:rsidRPr="064C8778">
        <w:rPr>
          <w:rFonts w:cs="Times New Roman"/>
        </w:rPr>
        <w:t xml:space="preserve">espondent’s </w:t>
      </w:r>
      <w:r w:rsidR="001D3F34">
        <w:rPr>
          <w:rFonts w:cs="Times New Roman"/>
        </w:rPr>
        <w:t>n</w:t>
      </w:r>
      <w:r w:rsidRPr="064C8778">
        <w:rPr>
          <w:rFonts w:cs="Times New Roman"/>
        </w:rPr>
        <w:t>otice.  I refused that application, for the reasons which I will give in this judgment.</w:t>
      </w:r>
    </w:p>
    <w:p w14:paraId="431B0B37" w14:textId="4DCBA2B3" w:rsidR="064C8778" w:rsidRDefault="000C6DC6" w:rsidP="00AC6944">
      <w:pPr>
        <w:spacing w:after="240" w:line="240" w:lineRule="auto"/>
        <w:ind w:firstLine="720"/>
        <w:jc w:val="both"/>
        <w:rPr>
          <w:rFonts w:cs="Times New Roman"/>
        </w:rPr>
      </w:pPr>
      <w:r w:rsidRPr="064C8778">
        <w:rPr>
          <w:rFonts w:cs="Times New Roman"/>
          <w:b/>
          <w:bCs/>
        </w:rPr>
        <w:t>(2) Background</w:t>
      </w:r>
    </w:p>
    <w:p w14:paraId="2BF7EB33" w14:textId="34F22EE4" w:rsidR="00EA090C" w:rsidRPr="00EA090C" w:rsidRDefault="00EA090C" w:rsidP="00AC6944">
      <w:pPr>
        <w:pStyle w:val="ListParagraph"/>
        <w:spacing w:after="240" w:line="240" w:lineRule="auto"/>
        <w:contextualSpacing w:val="0"/>
        <w:jc w:val="both"/>
        <w:rPr>
          <w:b/>
          <w:bCs/>
          <w:i/>
          <w:iCs/>
        </w:rPr>
      </w:pPr>
      <w:r>
        <w:rPr>
          <w:b/>
          <w:bCs/>
          <w:i/>
          <w:iCs/>
        </w:rPr>
        <w:t>(2)(a)</w:t>
      </w:r>
      <w:r>
        <w:rPr>
          <w:b/>
          <w:bCs/>
          <w:i/>
          <w:iCs/>
        </w:rPr>
        <w:tab/>
        <w:t>The Collision</w:t>
      </w:r>
    </w:p>
    <w:p w14:paraId="7EAEE1CE" w14:textId="24FAACB1" w:rsidR="76B3DEAD" w:rsidRPr="00EA090C" w:rsidRDefault="76B3DEAD" w:rsidP="00AC6944">
      <w:pPr>
        <w:pStyle w:val="ListParagraph"/>
        <w:numPr>
          <w:ilvl w:val="0"/>
          <w:numId w:val="15"/>
        </w:numPr>
        <w:spacing w:after="240" w:line="240" w:lineRule="auto"/>
        <w:contextualSpacing w:val="0"/>
        <w:jc w:val="both"/>
      </w:pPr>
      <w:r w:rsidRPr="064C8778">
        <w:rPr>
          <w:rFonts w:cs="Times New Roman"/>
        </w:rPr>
        <w:t>As I have said, t</w:t>
      </w:r>
      <w:r w:rsidR="2BD212E0" w:rsidRPr="064C8778">
        <w:rPr>
          <w:rFonts w:cs="Times New Roman"/>
        </w:rPr>
        <w:t>he accident occurred on</w:t>
      </w:r>
      <w:r w:rsidR="54E3F8E5" w:rsidRPr="064C8778">
        <w:rPr>
          <w:rFonts w:cs="Times New Roman"/>
        </w:rPr>
        <w:t xml:space="preserve"> 27 May 2016.  </w:t>
      </w:r>
      <w:r w:rsidR="7C1210CD" w:rsidRPr="064C8778">
        <w:rPr>
          <w:rFonts w:cs="Times New Roman"/>
        </w:rPr>
        <w:t>Mrs Muddiman’s vehicle collided with the rear of the Claim</w:t>
      </w:r>
      <w:r w:rsidR="7A096D96" w:rsidRPr="064C8778">
        <w:rPr>
          <w:rFonts w:cs="Times New Roman"/>
        </w:rPr>
        <w:t>a</w:t>
      </w:r>
      <w:r w:rsidR="7C1210CD" w:rsidRPr="064C8778">
        <w:rPr>
          <w:rFonts w:cs="Times New Roman"/>
        </w:rPr>
        <w:t>nt’s vehicle while the Claim</w:t>
      </w:r>
      <w:r w:rsidR="5D2ECD91" w:rsidRPr="064C8778">
        <w:rPr>
          <w:rFonts w:cs="Times New Roman"/>
        </w:rPr>
        <w:t>a</w:t>
      </w:r>
      <w:r w:rsidR="7C1210CD" w:rsidRPr="064C8778">
        <w:rPr>
          <w:rFonts w:cs="Times New Roman"/>
        </w:rPr>
        <w:t>nt was stationary at a junction.</w:t>
      </w:r>
      <w:r w:rsidR="25DECC01" w:rsidRPr="064C8778">
        <w:rPr>
          <w:rFonts w:cs="Times New Roman"/>
        </w:rPr>
        <w:t xml:space="preserve"> </w:t>
      </w:r>
      <w:r w:rsidR="54E3F8E5" w:rsidRPr="064C8778">
        <w:rPr>
          <w:rFonts w:cs="Times New Roman"/>
        </w:rPr>
        <w:t>The Claim</w:t>
      </w:r>
      <w:r w:rsidR="385D5381" w:rsidRPr="064C8778">
        <w:rPr>
          <w:rFonts w:cs="Times New Roman"/>
        </w:rPr>
        <w:t>a</w:t>
      </w:r>
      <w:r w:rsidR="54E3F8E5" w:rsidRPr="064C8778">
        <w:rPr>
          <w:rFonts w:cs="Times New Roman"/>
        </w:rPr>
        <w:t>nt sustained whiplash injuries, including pain to her collar bone and shoulder.  She did no</w:t>
      </w:r>
      <w:r w:rsidR="00765690">
        <w:rPr>
          <w:rFonts w:cs="Times New Roman"/>
        </w:rPr>
        <w:t>t</w:t>
      </w:r>
      <w:r w:rsidR="54E3F8E5" w:rsidRPr="064C8778">
        <w:rPr>
          <w:rFonts w:cs="Times New Roman"/>
        </w:rPr>
        <w:t xml:space="preserve"> attend hospital or seek any medical att</w:t>
      </w:r>
      <w:r w:rsidR="4F1B88C0" w:rsidRPr="064C8778">
        <w:rPr>
          <w:rFonts w:cs="Times New Roman"/>
        </w:rPr>
        <w:t>ention and she did not have to take any time off work.</w:t>
      </w:r>
    </w:p>
    <w:p w14:paraId="3FBFCBA8" w14:textId="378C2840" w:rsidR="00EA090C" w:rsidRPr="00EA090C" w:rsidRDefault="00EA090C" w:rsidP="00AC6944">
      <w:pPr>
        <w:pStyle w:val="ListParagraph"/>
        <w:spacing w:after="240" w:line="240" w:lineRule="auto"/>
        <w:contextualSpacing w:val="0"/>
        <w:jc w:val="both"/>
        <w:rPr>
          <w:b/>
          <w:bCs/>
          <w:i/>
          <w:iCs/>
        </w:rPr>
      </w:pPr>
      <w:r>
        <w:rPr>
          <w:rFonts w:cs="Times New Roman"/>
          <w:b/>
          <w:bCs/>
          <w:i/>
          <w:iCs/>
        </w:rPr>
        <w:t>(2)(b) The Defendant’s Retainer</w:t>
      </w:r>
    </w:p>
    <w:p w14:paraId="0EE138BF" w14:textId="6351E89F" w:rsidR="00C27D07" w:rsidRPr="00C27D07" w:rsidRDefault="004E2ECC" w:rsidP="00AC6944">
      <w:pPr>
        <w:pStyle w:val="ListParagraph"/>
        <w:numPr>
          <w:ilvl w:val="0"/>
          <w:numId w:val="15"/>
        </w:numPr>
        <w:spacing w:after="240" w:line="240" w:lineRule="auto"/>
        <w:contextualSpacing w:val="0"/>
        <w:jc w:val="both"/>
      </w:pPr>
      <w:r w:rsidRPr="064C8778">
        <w:rPr>
          <w:rFonts w:cs="Times New Roman"/>
        </w:rPr>
        <w:t>The Claimant instructed the Defendant on 26 October 2016</w:t>
      </w:r>
      <w:r w:rsidR="00C27D07">
        <w:rPr>
          <w:rFonts w:cs="Times New Roman"/>
        </w:rPr>
        <w:t xml:space="preserve">.  The damage to her vehicle </w:t>
      </w:r>
      <w:r w:rsidR="00FC4E62">
        <w:rPr>
          <w:rFonts w:cs="Times New Roman"/>
        </w:rPr>
        <w:t>had bee</w:t>
      </w:r>
      <w:r w:rsidR="007B0D1C">
        <w:rPr>
          <w:rFonts w:cs="Times New Roman"/>
        </w:rPr>
        <w:t>n</w:t>
      </w:r>
      <w:r w:rsidR="00FC4E62">
        <w:rPr>
          <w:rFonts w:cs="Times New Roman"/>
        </w:rPr>
        <w:t xml:space="preserve">, or </w:t>
      </w:r>
      <w:r w:rsidR="00C27D07">
        <w:rPr>
          <w:rFonts w:cs="Times New Roman"/>
        </w:rPr>
        <w:t>was being</w:t>
      </w:r>
      <w:r w:rsidR="00FC4E62">
        <w:rPr>
          <w:rFonts w:cs="Times New Roman"/>
        </w:rPr>
        <w:t>,</w:t>
      </w:r>
      <w:r w:rsidR="00C27D07">
        <w:rPr>
          <w:rFonts w:cs="Times New Roman"/>
        </w:rPr>
        <w:t xml:space="preserve"> dealt with by her </w:t>
      </w:r>
      <w:r w:rsidR="00FC4E62">
        <w:rPr>
          <w:rFonts w:cs="Times New Roman"/>
        </w:rPr>
        <w:t xml:space="preserve">insurer.  </w:t>
      </w:r>
      <w:r w:rsidR="00C27D07">
        <w:rPr>
          <w:rFonts w:cs="Times New Roman"/>
        </w:rPr>
        <w:t xml:space="preserve">She wished to pursue a claim for damages for personal injury.  She had not required any medical attention in the 5 months since the accident.  </w:t>
      </w:r>
    </w:p>
    <w:p w14:paraId="5578BBE9" w14:textId="02C71F38" w:rsidR="004E2ECC" w:rsidRDefault="00C27D07" w:rsidP="00AC6944">
      <w:pPr>
        <w:pStyle w:val="ListParagraph"/>
        <w:numPr>
          <w:ilvl w:val="0"/>
          <w:numId w:val="15"/>
        </w:numPr>
        <w:spacing w:after="240" w:line="240" w:lineRule="auto"/>
        <w:jc w:val="both"/>
      </w:pPr>
      <w:r>
        <w:rPr>
          <w:rFonts w:cs="Times New Roman"/>
        </w:rPr>
        <w:t xml:space="preserve">On 26 October 2016 </w:t>
      </w:r>
      <w:r w:rsidR="73E561E5" w:rsidRPr="064C8778">
        <w:rPr>
          <w:rFonts w:cs="Times New Roman"/>
        </w:rPr>
        <w:t>the Defendant sent</w:t>
      </w:r>
      <w:r w:rsidR="007B0D1C">
        <w:rPr>
          <w:rFonts w:cs="Times New Roman"/>
        </w:rPr>
        <w:t xml:space="preserve"> to</w:t>
      </w:r>
      <w:r w:rsidR="73E561E5" w:rsidRPr="064C8778">
        <w:rPr>
          <w:rFonts w:cs="Times New Roman"/>
        </w:rPr>
        <w:t xml:space="preserve"> the Claimant a Client Care Letter which stated, inter alia, as follows:</w:t>
      </w:r>
    </w:p>
    <w:p w14:paraId="700521EF" w14:textId="21CCE4CC" w:rsidR="00557AC7" w:rsidRDefault="00557AC7" w:rsidP="00AC6944">
      <w:pPr>
        <w:spacing w:after="240" w:line="240" w:lineRule="auto"/>
        <w:ind w:left="1418"/>
        <w:jc w:val="both"/>
        <w:rPr>
          <w:rFonts w:cs="Times New Roman"/>
          <w:szCs w:val="24"/>
        </w:rPr>
      </w:pPr>
      <w:r w:rsidRPr="00D37E60">
        <w:rPr>
          <w:rFonts w:cs="Times New Roman"/>
          <w:szCs w:val="24"/>
        </w:rPr>
        <w:lastRenderedPageBreak/>
        <w:t>“</w:t>
      </w:r>
      <w:r w:rsidR="00C00750">
        <w:rPr>
          <w:rFonts w:cs="Times New Roman"/>
          <w:szCs w:val="24"/>
        </w:rPr>
        <w:t xml:space="preserve">…  </w:t>
      </w:r>
      <w:r w:rsidRPr="00D37E60">
        <w:rPr>
          <w:rFonts w:cs="Times New Roman"/>
          <w:szCs w:val="24"/>
        </w:rPr>
        <w:t>Enclosed is a Conditional Fee Agreement (CFA) which, together with this Client Care Letter, will form the agreement between us.  We also enclose a copy of the Personal Injury Booklet that explains how the CFA works and also contains our Terms of Business, which you are advised to read carefully, particularly the sections on Client Satisfaction, Client Money and Limitation of Liability.”</w:t>
      </w:r>
    </w:p>
    <w:p w14:paraId="4C72395B" w14:textId="0973A295" w:rsidR="00C00750" w:rsidRDefault="00C00750" w:rsidP="00AC6944">
      <w:pPr>
        <w:spacing w:after="120" w:line="240" w:lineRule="auto"/>
        <w:ind w:left="1418"/>
        <w:jc w:val="both"/>
        <w:rPr>
          <w:rFonts w:cs="Times New Roman"/>
          <w:b/>
          <w:bCs/>
          <w:szCs w:val="24"/>
        </w:rPr>
      </w:pPr>
      <w:r>
        <w:rPr>
          <w:rFonts w:cs="Times New Roman"/>
          <w:szCs w:val="24"/>
        </w:rPr>
        <w:t>“</w:t>
      </w:r>
      <w:r>
        <w:rPr>
          <w:rFonts w:cs="Times New Roman"/>
          <w:b/>
          <w:bCs/>
          <w:szCs w:val="24"/>
        </w:rPr>
        <w:t>Outline of the Work</w:t>
      </w:r>
    </w:p>
    <w:p w14:paraId="3430DE62" w14:textId="7A64B669" w:rsidR="00C00750" w:rsidRDefault="00C00750" w:rsidP="00AC6944">
      <w:pPr>
        <w:spacing w:after="120" w:line="240" w:lineRule="auto"/>
        <w:ind w:left="1418"/>
        <w:jc w:val="both"/>
        <w:rPr>
          <w:rFonts w:cs="Times New Roman"/>
          <w:szCs w:val="24"/>
        </w:rPr>
      </w:pPr>
      <w:r>
        <w:rPr>
          <w:rFonts w:cs="Times New Roman"/>
          <w:szCs w:val="24"/>
        </w:rPr>
        <w:t>A br</w:t>
      </w:r>
      <w:r w:rsidR="009A32D1">
        <w:rPr>
          <w:rFonts w:cs="Times New Roman"/>
          <w:szCs w:val="24"/>
        </w:rPr>
        <w:t>oa</w:t>
      </w:r>
      <w:r>
        <w:rPr>
          <w:rFonts w:cs="Times New Roman"/>
          <w:szCs w:val="24"/>
        </w:rPr>
        <w:t>d outlin</w:t>
      </w:r>
      <w:r w:rsidR="009A32D1">
        <w:rPr>
          <w:rFonts w:cs="Times New Roman"/>
          <w:szCs w:val="24"/>
        </w:rPr>
        <w:t>e</w:t>
      </w:r>
      <w:r>
        <w:rPr>
          <w:rFonts w:cs="Times New Roman"/>
          <w:szCs w:val="24"/>
        </w:rPr>
        <w:t xml:space="preserve"> of the work we will undertake on your behalf is as follows:</w:t>
      </w:r>
    </w:p>
    <w:p w14:paraId="766DD122" w14:textId="04B6D58E" w:rsidR="00C00750" w:rsidRDefault="009A32D1" w:rsidP="00AC6944">
      <w:pPr>
        <w:pStyle w:val="ListParagraph"/>
        <w:numPr>
          <w:ilvl w:val="0"/>
          <w:numId w:val="19"/>
        </w:numPr>
        <w:spacing w:after="120" w:line="240" w:lineRule="auto"/>
        <w:jc w:val="both"/>
        <w:rPr>
          <w:rFonts w:cs="Times New Roman"/>
          <w:szCs w:val="24"/>
        </w:rPr>
      </w:pPr>
      <w:r>
        <w:rPr>
          <w:rFonts w:cs="Times New Roman"/>
          <w:szCs w:val="24"/>
        </w:rPr>
        <w:t>Submit your claim to the relevant party</w:t>
      </w:r>
    </w:p>
    <w:p w14:paraId="7261FC35" w14:textId="26CC6855" w:rsidR="009A32D1" w:rsidRDefault="009A32D1" w:rsidP="00AC6944">
      <w:pPr>
        <w:pStyle w:val="ListParagraph"/>
        <w:numPr>
          <w:ilvl w:val="0"/>
          <w:numId w:val="19"/>
        </w:numPr>
        <w:spacing w:after="120" w:line="240" w:lineRule="auto"/>
        <w:jc w:val="both"/>
        <w:rPr>
          <w:rFonts w:cs="Times New Roman"/>
          <w:szCs w:val="24"/>
        </w:rPr>
      </w:pPr>
      <w:r>
        <w:rPr>
          <w:rFonts w:cs="Times New Roman"/>
          <w:szCs w:val="24"/>
        </w:rPr>
        <w:t>Liaise with all parties and gather evidence to establish evidence in respect of liability</w:t>
      </w:r>
    </w:p>
    <w:p w14:paraId="5D2320BA" w14:textId="76B1C6AE" w:rsidR="009A32D1" w:rsidRDefault="009A32D1" w:rsidP="00AC6944">
      <w:pPr>
        <w:pStyle w:val="ListParagraph"/>
        <w:numPr>
          <w:ilvl w:val="0"/>
          <w:numId w:val="19"/>
        </w:numPr>
        <w:spacing w:after="120" w:line="240" w:lineRule="auto"/>
        <w:jc w:val="both"/>
        <w:rPr>
          <w:rFonts w:cs="Times New Roman"/>
          <w:szCs w:val="24"/>
        </w:rPr>
      </w:pPr>
      <w:r>
        <w:rPr>
          <w:rFonts w:cs="Times New Roman"/>
          <w:szCs w:val="24"/>
        </w:rPr>
        <w:t>Arrange your medical appointment and medical report to substantiate your injuries</w:t>
      </w:r>
    </w:p>
    <w:p w14:paraId="0FB83F82" w14:textId="549C74ED" w:rsidR="009A32D1" w:rsidRDefault="009A32D1" w:rsidP="00AC6944">
      <w:pPr>
        <w:pStyle w:val="ListParagraph"/>
        <w:numPr>
          <w:ilvl w:val="0"/>
          <w:numId w:val="19"/>
        </w:numPr>
        <w:spacing w:after="120" w:line="240" w:lineRule="auto"/>
        <w:jc w:val="both"/>
        <w:rPr>
          <w:rFonts w:cs="Times New Roman"/>
          <w:szCs w:val="24"/>
        </w:rPr>
      </w:pPr>
      <w:r>
        <w:rPr>
          <w:rFonts w:cs="Times New Roman"/>
          <w:szCs w:val="24"/>
        </w:rPr>
        <w:t>Ensure all items of expense incurred as a result of this accident are claimed from the other side where recoverable in English law</w:t>
      </w:r>
    </w:p>
    <w:p w14:paraId="1D1FEA90" w14:textId="16165DD2" w:rsidR="009A32D1" w:rsidRDefault="009A32D1" w:rsidP="00AC6944">
      <w:pPr>
        <w:pStyle w:val="ListParagraph"/>
        <w:numPr>
          <w:ilvl w:val="0"/>
          <w:numId w:val="19"/>
        </w:numPr>
        <w:spacing w:after="120" w:line="240" w:lineRule="auto"/>
        <w:jc w:val="both"/>
        <w:rPr>
          <w:rFonts w:cs="Times New Roman"/>
          <w:szCs w:val="24"/>
        </w:rPr>
      </w:pPr>
      <w:r>
        <w:rPr>
          <w:rFonts w:cs="Times New Roman"/>
          <w:szCs w:val="24"/>
        </w:rPr>
        <w:t>Advise you throughout on the above with a view to valuing your claim</w:t>
      </w:r>
    </w:p>
    <w:p w14:paraId="1F73E87F" w14:textId="0B18A694" w:rsidR="009A32D1" w:rsidRDefault="009A32D1" w:rsidP="00AC6944">
      <w:pPr>
        <w:pStyle w:val="ListParagraph"/>
        <w:numPr>
          <w:ilvl w:val="0"/>
          <w:numId w:val="19"/>
        </w:numPr>
        <w:spacing w:after="120" w:line="240" w:lineRule="auto"/>
        <w:jc w:val="both"/>
        <w:rPr>
          <w:rFonts w:cs="Times New Roman"/>
          <w:szCs w:val="24"/>
        </w:rPr>
      </w:pPr>
      <w:r>
        <w:rPr>
          <w:rFonts w:cs="Times New Roman"/>
          <w:szCs w:val="24"/>
        </w:rPr>
        <w:t>Negotiate settlement on your behalf in accordance with your instructions</w:t>
      </w:r>
    </w:p>
    <w:p w14:paraId="4BBB457F" w14:textId="51B0FF50" w:rsidR="009A32D1" w:rsidRDefault="009A32D1" w:rsidP="00AC6944">
      <w:pPr>
        <w:pStyle w:val="ListParagraph"/>
        <w:numPr>
          <w:ilvl w:val="0"/>
          <w:numId w:val="19"/>
        </w:numPr>
        <w:spacing w:after="120" w:line="240" w:lineRule="auto"/>
        <w:jc w:val="both"/>
        <w:rPr>
          <w:rFonts w:cs="Times New Roman"/>
          <w:szCs w:val="24"/>
        </w:rPr>
      </w:pPr>
      <w:r>
        <w:rPr>
          <w:rFonts w:cs="Times New Roman"/>
          <w:szCs w:val="24"/>
        </w:rPr>
        <w:t>Proceed your case to Court when negotiations break down and your case has greater than 50% prospects of success</w:t>
      </w:r>
    </w:p>
    <w:p w14:paraId="61697E81" w14:textId="4814466D" w:rsidR="009A32D1" w:rsidRPr="00C00750" w:rsidRDefault="009A32D1" w:rsidP="00AC6944">
      <w:pPr>
        <w:pStyle w:val="ListParagraph"/>
        <w:numPr>
          <w:ilvl w:val="0"/>
          <w:numId w:val="19"/>
        </w:numPr>
        <w:spacing w:after="240" w:line="240" w:lineRule="auto"/>
        <w:ind w:left="1775" w:hanging="357"/>
        <w:contextualSpacing w:val="0"/>
        <w:jc w:val="both"/>
        <w:rPr>
          <w:rFonts w:cs="Times New Roman"/>
          <w:szCs w:val="24"/>
        </w:rPr>
      </w:pPr>
      <w:r>
        <w:rPr>
          <w:rFonts w:cs="Times New Roman"/>
          <w:szCs w:val="24"/>
        </w:rPr>
        <w:t>Where appropriate prepare your claim for trial if amicable settlement cannot be achieved”</w:t>
      </w:r>
    </w:p>
    <w:p w14:paraId="573772A0" w14:textId="3205C114" w:rsidR="00C00750" w:rsidRPr="00C00750" w:rsidRDefault="00557AC7" w:rsidP="00AC6944">
      <w:pPr>
        <w:spacing w:after="120" w:line="240" w:lineRule="auto"/>
        <w:ind w:left="1418"/>
        <w:jc w:val="both"/>
        <w:rPr>
          <w:rFonts w:cs="Times New Roman"/>
          <w:b/>
          <w:bCs/>
          <w:szCs w:val="24"/>
        </w:rPr>
      </w:pPr>
      <w:r w:rsidRPr="00D37E60">
        <w:rPr>
          <w:rFonts w:cs="Times New Roman"/>
          <w:szCs w:val="24"/>
        </w:rPr>
        <w:t>“</w:t>
      </w:r>
      <w:r w:rsidR="00C00750">
        <w:rPr>
          <w:rFonts w:cs="Times New Roman"/>
          <w:b/>
          <w:bCs/>
          <w:szCs w:val="24"/>
        </w:rPr>
        <w:t>Costs and Timescales</w:t>
      </w:r>
    </w:p>
    <w:p w14:paraId="47671D24" w14:textId="22A96293" w:rsidR="00557AC7" w:rsidRPr="00D37E60" w:rsidRDefault="00557AC7" w:rsidP="00AC6944">
      <w:pPr>
        <w:spacing w:after="120" w:line="240" w:lineRule="auto"/>
        <w:ind w:left="1418"/>
        <w:jc w:val="both"/>
        <w:rPr>
          <w:rFonts w:cs="Times New Roman"/>
          <w:szCs w:val="24"/>
        </w:rPr>
      </w:pPr>
      <w:r w:rsidRPr="00D37E60">
        <w:rPr>
          <w:rFonts w:cs="Times New Roman"/>
          <w:szCs w:val="24"/>
        </w:rPr>
        <w:t>For an explanation of how the Conditional Fee Agreement (CFA) works, please refer to the Personal Injury Client Care Booklet provided.  If you require a further copy, please contact us and we will arrange for a further copy to be sent.</w:t>
      </w:r>
    </w:p>
    <w:p w14:paraId="76FC2FB7" w14:textId="4CDEAEE5" w:rsidR="00557AC7" w:rsidRPr="00D37E60" w:rsidRDefault="00557AC7" w:rsidP="00AC6944">
      <w:pPr>
        <w:spacing w:after="120" w:line="240" w:lineRule="auto"/>
        <w:ind w:left="1418"/>
        <w:jc w:val="both"/>
        <w:rPr>
          <w:rFonts w:cs="Times New Roman"/>
          <w:szCs w:val="24"/>
        </w:rPr>
      </w:pPr>
      <w:r w:rsidRPr="00D37E60">
        <w:rPr>
          <w:rFonts w:cs="Times New Roman"/>
          <w:szCs w:val="24"/>
        </w:rPr>
        <w:t>The booklet also contains detailed information on the costs of and funding options for pursuing your personal injury claim.  Please read through this information carefully and contact us should you have any queries or require any further information.</w:t>
      </w:r>
    </w:p>
    <w:p w14:paraId="454ACE08" w14:textId="135F6EC2" w:rsidR="009A32D1" w:rsidRDefault="009A32D1" w:rsidP="00AC6944">
      <w:pPr>
        <w:spacing w:after="120" w:line="240" w:lineRule="auto"/>
        <w:ind w:left="1418" w:firstLine="22"/>
        <w:jc w:val="both"/>
        <w:rPr>
          <w:rFonts w:cs="Times New Roman"/>
          <w:szCs w:val="24"/>
        </w:rPr>
      </w:pPr>
      <w:r>
        <w:rPr>
          <w:rFonts w:cs="Times New Roman"/>
          <w:szCs w:val="24"/>
        </w:rPr>
        <w:t>…</w:t>
      </w:r>
    </w:p>
    <w:p w14:paraId="7C9B1979" w14:textId="0F803A57" w:rsidR="00557AC7" w:rsidRPr="00D37E60" w:rsidRDefault="00557AC7" w:rsidP="00AC6944">
      <w:pPr>
        <w:spacing w:after="120" w:line="240" w:lineRule="auto"/>
        <w:ind w:left="1418" w:firstLine="22"/>
        <w:jc w:val="both"/>
        <w:rPr>
          <w:rFonts w:cs="Times New Roman"/>
          <w:szCs w:val="24"/>
        </w:rPr>
      </w:pPr>
      <w:r w:rsidRPr="00D37E60">
        <w:rPr>
          <w:rFonts w:cs="Times New Roman"/>
          <w:szCs w:val="24"/>
        </w:rPr>
        <w:t>As matters currently stand the Court rules allow you to recover costs from your opponent (the person who caused your accident) unless the claim is a Small Claim (which is where the personal injury damages are £1,000 or less).  However, there is a chance that at some point in the future this may change.</w:t>
      </w:r>
    </w:p>
    <w:p w14:paraId="11344275" w14:textId="0959E636" w:rsidR="00557AC7" w:rsidRPr="00D37E60" w:rsidRDefault="00557AC7" w:rsidP="00AC6944">
      <w:pPr>
        <w:spacing w:after="120" w:line="240" w:lineRule="auto"/>
        <w:ind w:left="1418"/>
        <w:jc w:val="both"/>
        <w:rPr>
          <w:rFonts w:cs="Times New Roman"/>
          <w:szCs w:val="24"/>
        </w:rPr>
      </w:pPr>
      <w:r w:rsidRPr="00D37E60">
        <w:rPr>
          <w:rFonts w:cs="Times New Roman"/>
          <w:szCs w:val="24"/>
        </w:rPr>
        <w:t xml:space="preserve">You will see from the Personal Injury Booklet that we aim to achieve an outcome whereby no more than 25% of your damages are deducted in respect of costs.  </w:t>
      </w:r>
      <w:bookmarkStart w:id="0" w:name="_Hlk72576924"/>
      <w:r w:rsidRPr="00D37E60">
        <w:rPr>
          <w:rFonts w:cs="Times New Roman"/>
          <w:szCs w:val="24"/>
        </w:rPr>
        <w:t>This is achievable because the Court rules currently allow you to recover costs from your opponent and so this enables us to claim your costs from your opponent rather than entirely from your damages.  If the rules were to change to prevent you from recovering costs from your opponent, then by entering into the CFA with us, you hereby agree that we would be entitled to deduct a higher proportion than 25% of your damages in respect of costs.</w:t>
      </w:r>
      <w:bookmarkEnd w:id="0"/>
    </w:p>
    <w:p w14:paraId="477806EF" w14:textId="77777777" w:rsidR="00557AC7" w:rsidRPr="00D37E60" w:rsidRDefault="00557AC7" w:rsidP="00AC6944">
      <w:pPr>
        <w:spacing w:after="120" w:line="240" w:lineRule="auto"/>
        <w:ind w:left="1418"/>
        <w:jc w:val="both"/>
        <w:rPr>
          <w:rFonts w:cs="Times New Roman"/>
          <w:szCs w:val="24"/>
        </w:rPr>
      </w:pPr>
      <w:r w:rsidRPr="00D37E60">
        <w:rPr>
          <w:rFonts w:cs="Times New Roman"/>
          <w:szCs w:val="24"/>
        </w:rPr>
        <w:t xml:space="preserve">It is difficult at this point to predict with any certainty whether that will be necessary, but if it does become necessary we will discuss that with you.  The changes (if they apply to your case) may be such that we may have to enter a </w:t>
      </w:r>
      <w:r w:rsidRPr="00D37E60">
        <w:rPr>
          <w:rFonts w:cs="Times New Roman"/>
          <w:szCs w:val="24"/>
        </w:rPr>
        <w:lastRenderedPageBreak/>
        <w:t>revised CFA with you and this may include an agreement to retrospectively cover the work we are now agreeing to undertake for you.</w:t>
      </w:r>
    </w:p>
    <w:p w14:paraId="664AFF7E" w14:textId="77777777" w:rsidR="00557AC7" w:rsidRPr="00D37E60" w:rsidRDefault="00557AC7" w:rsidP="00AC6944">
      <w:pPr>
        <w:spacing w:after="120" w:line="240" w:lineRule="auto"/>
        <w:ind w:left="1418"/>
        <w:jc w:val="both"/>
        <w:rPr>
          <w:rFonts w:cs="Times New Roman"/>
          <w:b/>
          <w:szCs w:val="24"/>
        </w:rPr>
      </w:pPr>
      <w:r w:rsidRPr="00D37E60">
        <w:rPr>
          <w:rFonts w:cs="Times New Roman"/>
          <w:b/>
          <w:szCs w:val="24"/>
        </w:rPr>
        <w:t>Recommendation Agreement</w:t>
      </w:r>
    </w:p>
    <w:p w14:paraId="1D4A4AEC" w14:textId="77777777" w:rsidR="00557AC7" w:rsidRPr="00D37E60" w:rsidRDefault="00557AC7" w:rsidP="00AC6944">
      <w:pPr>
        <w:spacing w:after="240" w:line="240" w:lineRule="auto"/>
        <w:ind w:left="1418"/>
        <w:jc w:val="both"/>
        <w:rPr>
          <w:rFonts w:cs="Times New Roman"/>
          <w:szCs w:val="24"/>
        </w:rPr>
      </w:pPr>
      <w:r w:rsidRPr="00D37E60">
        <w:rPr>
          <w:rFonts w:cs="Times New Roman"/>
          <w:szCs w:val="24"/>
        </w:rPr>
        <w:t>We have entered into a Recommendation Agreement with Glenfield Marketing.  This agreement remunerates Glenfield Marketing for advising you of our services and recommending you to contact us with regards to your claim for personal injury.  We have agreed to pay Glenfield Marketing the sum of £625 for recommending that you contact us directly with your instructions to pursue a claim for personal injury.”</w:t>
      </w:r>
    </w:p>
    <w:p w14:paraId="28A25CB5" w14:textId="4221CD22" w:rsidR="009A32D1" w:rsidRPr="009A32D1" w:rsidRDefault="00557AC7" w:rsidP="00AC6944">
      <w:pPr>
        <w:spacing w:after="120" w:line="240" w:lineRule="auto"/>
        <w:ind w:left="1418"/>
        <w:jc w:val="both"/>
        <w:rPr>
          <w:rFonts w:cs="Times New Roman"/>
          <w:b/>
          <w:bCs/>
          <w:szCs w:val="24"/>
        </w:rPr>
      </w:pPr>
      <w:r>
        <w:rPr>
          <w:rFonts w:cs="Times New Roman"/>
          <w:szCs w:val="24"/>
        </w:rPr>
        <w:t>“</w:t>
      </w:r>
      <w:r w:rsidR="009A32D1">
        <w:rPr>
          <w:rFonts w:cs="Times New Roman"/>
          <w:b/>
          <w:bCs/>
          <w:szCs w:val="24"/>
        </w:rPr>
        <w:t>After-the-Event Insurance</w:t>
      </w:r>
    </w:p>
    <w:p w14:paraId="6EC9C413" w14:textId="7BECE539" w:rsidR="009A32D1" w:rsidRDefault="009A32D1" w:rsidP="00AC6944">
      <w:pPr>
        <w:spacing w:after="120" w:line="240" w:lineRule="auto"/>
        <w:ind w:left="1418"/>
        <w:jc w:val="both"/>
        <w:rPr>
          <w:rFonts w:cs="Times New Roman"/>
          <w:szCs w:val="24"/>
        </w:rPr>
      </w:pPr>
      <w:r>
        <w:rPr>
          <w:rFonts w:cs="Times New Roman"/>
          <w:szCs w:val="24"/>
        </w:rPr>
        <w:t>…</w:t>
      </w:r>
    </w:p>
    <w:p w14:paraId="55DAD509" w14:textId="4A22B9F6" w:rsidR="00557AC7" w:rsidRDefault="00557AC7" w:rsidP="00AC6944">
      <w:pPr>
        <w:spacing w:after="120" w:line="240" w:lineRule="auto"/>
        <w:ind w:left="1418"/>
        <w:jc w:val="both"/>
        <w:rPr>
          <w:rFonts w:cs="Times New Roman"/>
          <w:szCs w:val="24"/>
        </w:rPr>
      </w:pPr>
      <w:r>
        <w:rPr>
          <w:rFonts w:cs="Times New Roman"/>
          <w:szCs w:val="24"/>
        </w:rPr>
        <w:t>We have recommended that you take out an ATE policy with Allianz Legal Protection, a division of Allianz Insurance plc.</w:t>
      </w:r>
    </w:p>
    <w:p w14:paraId="3C883A87" w14:textId="47C3AEAC" w:rsidR="009A32D1" w:rsidRDefault="009A32D1" w:rsidP="00AC6944">
      <w:pPr>
        <w:spacing w:after="120" w:line="240" w:lineRule="auto"/>
        <w:ind w:left="1418"/>
        <w:jc w:val="both"/>
        <w:rPr>
          <w:rFonts w:cs="Times New Roman"/>
          <w:szCs w:val="24"/>
        </w:rPr>
      </w:pPr>
      <w:r>
        <w:rPr>
          <w:rFonts w:cs="Times New Roman"/>
          <w:szCs w:val="24"/>
        </w:rPr>
        <w:t>…</w:t>
      </w:r>
    </w:p>
    <w:p w14:paraId="79ADF412" w14:textId="26F27A9C" w:rsidR="00557AC7" w:rsidRDefault="00557AC7" w:rsidP="00AC6944">
      <w:pPr>
        <w:spacing w:after="120" w:line="240" w:lineRule="auto"/>
        <w:ind w:left="1418"/>
        <w:jc w:val="both"/>
        <w:rPr>
          <w:rFonts w:cs="Times New Roman"/>
          <w:szCs w:val="24"/>
        </w:rPr>
      </w:pPr>
      <w:r>
        <w:rPr>
          <w:rFonts w:cs="Times New Roman"/>
          <w:szCs w:val="24"/>
        </w:rPr>
        <w:t xml:space="preserve">The premium for the Allianz policy would be payable only on the successful </w:t>
      </w:r>
      <w:r w:rsidR="00CF2FB8">
        <w:rPr>
          <w:rFonts w:cs="Times New Roman"/>
          <w:szCs w:val="24"/>
        </w:rPr>
        <w:t>conclusion</w:t>
      </w:r>
      <w:r>
        <w:rPr>
          <w:rFonts w:cs="Times New Roman"/>
          <w:szCs w:val="24"/>
        </w:rPr>
        <w:t xml:space="preserve"> of your claim and would at that stage be deducted from your damages.  If your claim fails the premium will be written off, even though you might need to make a claim against the policy for disbursements.</w:t>
      </w:r>
    </w:p>
    <w:p w14:paraId="465230BC" w14:textId="77777777" w:rsidR="00557AC7" w:rsidRDefault="00557AC7" w:rsidP="00AC6944">
      <w:pPr>
        <w:spacing w:after="120" w:line="240" w:lineRule="auto"/>
        <w:ind w:left="1418"/>
        <w:jc w:val="both"/>
        <w:rPr>
          <w:rFonts w:cs="Times New Roman"/>
          <w:szCs w:val="24"/>
        </w:rPr>
      </w:pPr>
      <w:r>
        <w:rPr>
          <w:rFonts w:cs="Times New Roman"/>
          <w:szCs w:val="24"/>
        </w:rPr>
        <w:t>As discussed by telephone, on the basis of the detail you have provided on your injuries we confirm that the cost of the Allianz premium will be £142.35.  Should your injuries prove more serious the cost of the premium may increase.  We will inform you if this becomes the case.</w:t>
      </w:r>
    </w:p>
    <w:p w14:paraId="434814B9" w14:textId="77777777" w:rsidR="00557AC7" w:rsidRDefault="00557AC7" w:rsidP="00AC6944">
      <w:pPr>
        <w:spacing w:after="120" w:line="240" w:lineRule="auto"/>
        <w:ind w:left="1418"/>
        <w:jc w:val="both"/>
        <w:rPr>
          <w:rFonts w:cs="Times New Roman"/>
          <w:szCs w:val="24"/>
        </w:rPr>
      </w:pPr>
      <w:r>
        <w:rPr>
          <w:rFonts w:cs="Times New Roman"/>
          <w:szCs w:val="24"/>
        </w:rPr>
        <w:t>SGI Legal LLP does not receive commission from Allianz Legal Protection and has no interest in Allianz Legal Protection.  However, the Partners at SGI Legal do have an interest (though a separate business, Exchange Holdings Limited) in a reinsurance company, which has a contract with Allianz Legal Protection.  This contract allows the reinsurance company to share any underwriting profit made during the year in which the ATE policy is issued.</w:t>
      </w:r>
    </w:p>
    <w:p w14:paraId="766C8858" w14:textId="4E9AF9D6" w:rsidR="00557AC7" w:rsidRDefault="00557AC7" w:rsidP="00AC6944">
      <w:pPr>
        <w:spacing w:after="240" w:line="240" w:lineRule="auto"/>
        <w:ind w:left="1418"/>
        <w:jc w:val="both"/>
        <w:rPr>
          <w:rFonts w:cs="Times New Roman"/>
          <w:szCs w:val="24"/>
        </w:rPr>
      </w:pPr>
      <w:r>
        <w:rPr>
          <w:rFonts w:cs="Times New Roman"/>
          <w:szCs w:val="24"/>
        </w:rPr>
        <w:t>It is very difficult to define the level of financial interest that the Partners have as this depends on the success of the business.  However, we estimate the interest to be in the region of 30-40% of recovered insurance premiums.”</w:t>
      </w:r>
    </w:p>
    <w:p w14:paraId="779D3DE9" w14:textId="1808F998" w:rsidR="00381FBC" w:rsidRPr="00381FBC" w:rsidRDefault="00381FBC" w:rsidP="00AC6944">
      <w:pPr>
        <w:pStyle w:val="ListParagraph"/>
        <w:numPr>
          <w:ilvl w:val="0"/>
          <w:numId w:val="15"/>
        </w:numPr>
        <w:spacing w:after="240" w:line="240" w:lineRule="auto"/>
        <w:contextualSpacing w:val="0"/>
        <w:jc w:val="both"/>
      </w:pPr>
      <w:r>
        <w:rPr>
          <w:rFonts w:cs="Times New Roman"/>
        </w:rPr>
        <w:t>Although the Client Care Letter referred to a Personal Injury Booklet or Pe</w:t>
      </w:r>
      <w:r w:rsidR="009A32D1">
        <w:rPr>
          <w:rFonts w:cs="Times New Roman"/>
        </w:rPr>
        <w:t>r</w:t>
      </w:r>
      <w:r>
        <w:rPr>
          <w:rFonts w:cs="Times New Roman"/>
        </w:rPr>
        <w:t>sonal Injury Clie</w:t>
      </w:r>
      <w:r w:rsidR="009A32D1">
        <w:rPr>
          <w:rFonts w:cs="Times New Roman"/>
        </w:rPr>
        <w:t>n</w:t>
      </w:r>
      <w:r>
        <w:rPr>
          <w:rFonts w:cs="Times New Roman"/>
        </w:rPr>
        <w:t xml:space="preserve">t </w:t>
      </w:r>
      <w:r w:rsidR="009A32D1">
        <w:rPr>
          <w:rFonts w:cs="Times New Roman"/>
        </w:rPr>
        <w:t>C</w:t>
      </w:r>
      <w:r>
        <w:rPr>
          <w:rFonts w:cs="Times New Roman"/>
        </w:rPr>
        <w:t xml:space="preserve">are Booklet, no such booklet was in evidence before the </w:t>
      </w:r>
      <w:r w:rsidR="00E57DAB">
        <w:rPr>
          <w:rFonts w:cs="Times New Roman"/>
        </w:rPr>
        <w:t>District</w:t>
      </w:r>
      <w:r>
        <w:rPr>
          <w:rFonts w:cs="Times New Roman"/>
        </w:rPr>
        <w:t xml:space="preserve"> </w:t>
      </w:r>
      <w:r w:rsidR="00E57DAB">
        <w:rPr>
          <w:rFonts w:cs="Times New Roman"/>
        </w:rPr>
        <w:t>Judge</w:t>
      </w:r>
      <w:r>
        <w:rPr>
          <w:rFonts w:cs="Times New Roman"/>
        </w:rPr>
        <w:t xml:space="preserve"> or me.</w:t>
      </w:r>
    </w:p>
    <w:p w14:paraId="292B9CA5" w14:textId="12247F64" w:rsidR="5F40C711" w:rsidRDefault="5F40C711" w:rsidP="00AC6944">
      <w:pPr>
        <w:pStyle w:val="ListParagraph"/>
        <w:numPr>
          <w:ilvl w:val="0"/>
          <w:numId w:val="15"/>
        </w:numPr>
        <w:spacing w:after="240" w:line="240" w:lineRule="auto"/>
        <w:jc w:val="both"/>
      </w:pPr>
      <w:r w:rsidRPr="064C8778">
        <w:rPr>
          <w:rFonts w:cs="Times New Roman"/>
        </w:rPr>
        <w:t xml:space="preserve">The Conditional Fee Agreement (“the CFA”) enclosed with the Client Care Letter </w:t>
      </w:r>
      <w:r w:rsidR="00E52B8F">
        <w:rPr>
          <w:rFonts w:cs="Times New Roman"/>
        </w:rPr>
        <w:t>provid</w:t>
      </w:r>
      <w:r w:rsidRPr="064C8778">
        <w:rPr>
          <w:rFonts w:cs="Times New Roman"/>
        </w:rPr>
        <w:t>ed, inter ali</w:t>
      </w:r>
      <w:r w:rsidR="00E52B8F">
        <w:rPr>
          <w:rFonts w:cs="Times New Roman"/>
        </w:rPr>
        <w:t>a</w:t>
      </w:r>
      <w:r w:rsidRPr="064C8778">
        <w:rPr>
          <w:rFonts w:cs="Times New Roman"/>
        </w:rPr>
        <w:t>, as follows:</w:t>
      </w:r>
    </w:p>
    <w:p w14:paraId="30F1E58B" w14:textId="65DE21A9" w:rsidR="00912E55" w:rsidRDefault="00912E55" w:rsidP="00AC6944">
      <w:pPr>
        <w:spacing w:after="120" w:line="240" w:lineRule="auto"/>
        <w:ind w:left="1418"/>
        <w:jc w:val="both"/>
        <w:rPr>
          <w:rFonts w:cs="Times New Roman"/>
          <w:szCs w:val="24"/>
        </w:rPr>
      </w:pPr>
      <w:r>
        <w:rPr>
          <w:rFonts w:cs="Times New Roman"/>
          <w:szCs w:val="24"/>
        </w:rPr>
        <w:t>“This agreement is a binding legal contract between you and your solicitor/s and confirms the agreement entered into by telephone between us on 26/10/2016 17:34:28</w:t>
      </w:r>
      <w:r w:rsidR="00CF2FB8">
        <w:rPr>
          <w:rFonts w:cs="Times New Roman"/>
          <w:szCs w:val="24"/>
        </w:rPr>
        <w:t>.</w:t>
      </w:r>
      <w:r>
        <w:rPr>
          <w:rFonts w:cs="Times New Roman"/>
          <w:szCs w:val="24"/>
        </w:rPr>
        <w:t xml:space="preserve">  Please read everything carefully.  This agreement must be read in conjunction with the document: “CFA: What You Need to Know”, which is attached to, and forms part of this agreement.”</w:t>
      </w:r>
    </w:p>
    <w:p w14:paraId="15BE42BD" w14:textId="3F13072E" w:rsidR="00AC6944" w:rsidRDefault="00AC6944" w:rsidP="00AC6944">
      <w:pPr>
        <w:spacing w:after="120" w:line="240" w:lineRule="auto"/>
        <w:ind w:left="1418"/>
        <w:jc w:val="both"/>
        <w:rPr>
          <w:rFonts w:cs="Times New Roman"/>
          <w:szCs w:val="24"/>
        </w:rPr>
      </w:pPr>
    </w:p>
    <w:p w14:paraId="5807443B" w14:textId="77777777" w:rsidR="00AC6944" w:rsidRDefault="00AC6944" w:rsidP="00AC6944">
      <w:pPr>
        <w:spacing w:after="120" w:line="240" w:lineRule="auto"/>
        <w:ind w:left="1418"/>
        <w:jc w:val="both"/>
        <w:rPr>
          <w:rFonts w:cs="Times New Roman"/>
          <w:szCs w:val="24"/>
        </w:rPr>
      </w:pPr>
    </w:p>
    <w:p w14:paraId="17A3AD80" w14:textId="6A98463E" w:rsidR="00912E55" w:rsidRDefault="00912E55" w:rsidP="00AC6944">
      <w:pPr>
        <w:spacing w:after="120" w:line="240" w:lineRule="auto"/>
        <w:ind w:left="1418"/>
        <w:jc w:val="both"/>
        <w:rPr>
          <w:rFonts w:cs="Times New Roman"/>
          <w:szCs w:val="24"/>
        </w:rPr>
      </w:pPr>
      <w:r>
        <w:rPr>
          <w:rFonts w:cs="Times New Roman"/>
          <w:szCs w:val="24"/>
        </w:rPr>
        <w:lastRenderedPageBreak/>
        <w:t>“</w:t>
      </w:r>
      <w:r w:rsidRPr="00EF523A">
        <w:rPr>
          <w:rFonts w:cs="Times New Roman"/>
          <w:b/>
          <w:szCs w:val="24"/>
        </w:rPr>
        <w:t>3.  Paying us</w:t>
      </w:r>
    </w:p>
    <w:p w14:paraId="2A6BBA5D" w14:textId="77777777" w:rsidR="00912E55" w:rsidRDefault="00912E55" w:rsidP="00AC6944">
      <w:pPr>
        <w:spacing w:after="120" w:line="240" w:lineRule="auto"/>
        <w:ind w:left="2158" w:hanging="740"/>
        <w:jc w:val="both"/>
        <w:rPr>
          <w:rFonts w:cs="Times New Roman"/>
          <w:szCs w:val="24"/>
        </w:rPr>
      </w:pPr>
      <w:r>
        <w:rPr>
          <w:rFonts w:cs="Times New Roman"/>
          <w:szCs w:val="24"/>
        </w:rPr>
        <w:t>3.1</w:t>
      </w:r>
      <w:r>
        <w:rPr>
          <w:rFonts w:cs="Times New Roman"/>
          <w:szCs w:val="24"/>
        </w:rPr>
        <w:tab/>
        <w:t>If you win your claim, you pay our basic charges, our disbursements and a success fee.</w:t>
      </w:r>
    </w:p>
    <w:p w14:paraId="09F0628F" w14:textId="77777777" w:rsidR="00912E55" w:rsidRDefault="00912E55" w:rsidP="00AC6944">
      <w:pPr>
        <w:spacing w:after="120" w:line="240" w:lineRule="auto"/>
        <w:ind w:left="2158" w:hanging="740"/>
        <w:rPr>
          <w:rFonts w:cs="Times New Roman"/>
          <w:szCs w:val="24"/>
        </w:rPr>
      </w:pPr>
      <w:r>
        <w:rPr>
          <w:rFonts w:cs="Times New Roman"/>
          <w:szCs w:val="24"/>
        </w:rPr>
        <w:t>3.2</w:t>
      </w:r>
      <w:r>
        <w:rPr>
          <w:rFonts w:cs="Times New Roman"/>
          <w:szCs w:val="24"/>
        </w:rPr>
        <w:tab/>
        <w:t>You are entitled to seek recovery from your opponent of part or all of our basic charges and our disbursements.</w:t>
      </w:r>
    </w:p>
    <w:p w14:paraId="6DFE508D" w14:textId="7AF49AE7" w:rsidR="00912E55" w:rsidRDefault="00912E55" w:rsidP="00AC6944">
      <w:pPr>
        <w:spacing w:after="120" w:line="240" w:lineRule="auto"/>
        <w:ind w:left="2158" w:hanging="740"/>
        <w:jc w:val="both"/>
        <w:rPr>
          <w:rFonts w:cs="Times New Roman"/>
          <w:szCs w:val="24"/>
        </w:rPr>
      </w:pPr>
      <w:r>
        <w:rPr>
          <w:rFonts w:cs="Times New Roman"/>
          <w:szCs w:val="24"/>
        </w:rPr>
        <w:t>3.3</w:t>
      </w:r>
      <w:r>
        <w:rPr>
          <w:rFonts w:cs="Times New Roman"/>
          <w:szCs w:val="24"/>
        </w:rPr>
        <w:tab/>
        <w:t>You will also pay the ATE insurance premium (if applicable) as set out in the document: “CFA:  What You Need to Know”.</w:t>
      </w:r>
    </w:p>
    <w:p w14:paraId="14E78CAD" w14:textId="1A500714" w:rsidR="00885D28" w:rsidRDefault="00885D28" w:rsidP="00AC6944">
      <w:pPr>
        <w:spacing w:after="120" w:line="240" w:lineRule="auto"/>
        <w:ind w:left="2158" w:hanging="740"/>
        <w:jc w:val="both"/>
        <w:rPr>
          <w:rFonts w:cs="Times New Roman"/>
          <w:szCs w:val="24"/>
        </w:rPr>
      </w:pPr>
      <w:r>
        <w:rPr>
          <w:rFonts w:cs="Times New Roman"/>
          <w:szCs w:val="24"/>
        </w:rPr>
        <w:tab/>
        <w:t>…</w:t>
      </w:r>
    </w:p>
    <w:p w14:paraId="69BCEB35" w14:textId="0B2C3EA5" w:rsidR="00912E55" w:rsidRDefault="00912E55" w:rsidP="00AC6944">
      <w:pPr>
        <w:spacing w:after="120" w:line="240" w:lineRule="auto"/>
        <w:ind w:left="1418"/>
        <w:jc w:val="both"/>
        <w:rPr>
          <w:rFonts w:cs="Times New Roman"/>
          <w:szCs w:val="24"/>
        </w:rPr>
      </w:pPr>
      <w:r w:rsidRPr="00C56A44">
        <w:rPr>
          <w:rFonts w:cs="Times New Roman"/>
          <w:b/>
          <w:szCs w:val="24"/>
        </w:rPr>
        <w:t>4.  The Success Fee</w:t>
      </w:r>
    </w:p>
    <w:p w14:paraId="609E5252" w14:textId="77777777" w:rsidR="00912E55" w:rsidRDefault="00912E55" w:rsidP="00AC6944">
      <w:pPr>
        <w:spacing w:after="120" w:line="240" w:lineRule="auto"/>
        <w:ind w:left="2158" w:hanging="740"/>
        <w:jc w:val="both"/>
        <w:rPr>
          <w:rFonts w:cs="Times New Roman"/>
          <w:szCs w:val="24"/>
        </w:rPr>
      </w:pPr>
      <w:r>
        <w:rPr>
          <w:rFonts w:cs="Times New Roman"/>
          <w:szCs w:val="24"/>
        </w:rPr>
        <w:t>4.1</w:t>
      </w:r>
      <w:r>
        <w:rPr>
          <w:rFonts w:cs="Times New Roman"/>
          <w:szCs w:val="24"/>
        </w:rPr>
        <w:tab/>
        <w:t>The success fee is set at 100% of our basic charges but will be capped at 25% of the damages you recover relating to:</w:t>
      </w:r>
    </w:p>
    <w:p w14:paraId="1FA9791D" w14:textId="77777777" w:rsidR="00912E55" w:rsidRDefault="00912E55" w:rsidP="00AC6944">
      <w:pPr>
        <w:pStyle w:val="ListParagraph"/>
        <w:numPr>
          <w:ilvl w:val="0"/>
          <w:numId w:val="16"/>
        </w:numPr>
        <w:spacing w:after="120" w:line="240" w:lineRule="auto"/>
        <w:contextualSpacing w:val="0"/>
        <w:jc w:val="both"/>
        <w:rPr>
          <w:rFonts w:cs="Times New Roman"/>
          <w:szCs w:val="24"/>
        </w:rPr>
      </w:pPr>
      <w:r>
        <w:rPr>
          <w:rFonts w:cs="Times New Roman"/>
          <w:szCs w:val="24"/>
        </w:rPr>
        <w:t>General damages for pain, suffering, and loss of amenity; and</w:t>
      </w:r>
    </w:p>
    <w:p w14:paraId="439810F9" w14:textId="77777777" w:rsidR="00912E55" w:rsidRDefault="00912E55" w:rsidP="00AC6944">
      <w:pPr>
        <w:pStyle w:val="ListParagraph"/>
        <w:numPr>
          <w:ilvl w:val="0"/>
          <w:numId w:val="16"/>
        </w:numPr>
        <w:spacing w:after="120" w:line="240" w:lineRule="auto"/>
        <w:contextualSpacing w:val="0"/>
        <w:jc w:val="both"/>
        <w:rPr>
          <w:rFonts w:cs="Times New Roman"/>
          <w:szCs w:val="24"/>
        </w:rPr>
      </w:pPr>
      <w:r>
        <w:rPr>
          <w:rFonts w:cs="Times New Roman"/>
          <w:szCs w:val="24"/>
        </w:rPr>
        <w:t>Damages for pecuniary loss, other than future pecuniary loss</w:t>
      </w:r>
    </w:p>
    <w:p w14:paraId="31BFA9F1" w14:textId="41F2C3DB" w:rsidR="00912E55" w:rsidRDefault="00912E55" w:rsidP="00AC6944">
      <w:pPr>
        <w:spacing w:after="240" w:line="240" w:lineRule="auto"/>
        <w:ind w:left="2160"/>
        <w:jc w:val="both"/>
        <w:rPr>
          <w:rFonts w:cs="Times New Roman"/>
          <w:szCs w:val="24"/>
        </w:rPr>
      </w:pPr>
      <w:r>
        <w:rPr>
          <w:rFonts w:cs="Times New Roman"/>
          <w:szCs w:val="24"/>
        </w:rPr>
        <w:t>Net of any sums recoverable by the Compensation Recovery Unit of the Department of Work and Pensions, inclusive of VAT.”</w:t>
      </w:r>
    </w:p>
    <w:p w14:paraId="3DAB8041" w14:textId="735F9188" w:rsidR="0E02840B" w:rsidRDefault="0E02840B" w:rsidP="00AC6944">
      <w:pPr>
        <w:pStyle w:val="ListParagraph"/>
        <w:numPr>
          <w:ilvl w:val="0"/>
          <w:numId w:val="15"/>
        </w:numPr>
        <w:spacing w:after="240" w:line="240" w:lineRule="auto"/>
        <w:jc w:val="both"/>
      </w:pPr>
      <w:r w:rsidRPr="064C8778">
        <w:rPr>
          <w:rFonts w:cs="Times New Roman"/>
        </w:rPr>
        <w:t>The attached document</w:t>
      </w:r>
      <w:r w:rsidR="004B5D22">
        <w:rPr>
          <w:rFonts w:cs="Times New Roman"/>
        </w:rPr>
        <w:t>,</w:t>
      </w:r>
      <w:r w:rsidRPr="064C8778">
        <w:rPr>
          <w:rFonts w:cs="Times New Roman"/>
        </w:rPr>
        <w:t xml:space="preserve"> headed “CFA: What You Need To Know”</w:t>
      </w:r>
      <w:r w:rsidR="00765690">
        <w:rPr>
          <w:rFonts w:cs="Times New Roman"/>
        </w:rPr>
        <w:t>,</w:t>
      </w:r>
      <w:r w:rsidRPr="064C8778">
        <w:rPr>
          <w:rFonts w:cs="Times New Roman"/>
        </w:rPr>
        <w:t xml:space="preserve"> stated, inter ali</w:t>
      </w:r>
      <w:r w:rsidR="00765690">
        <w:rPr>
          <w:rFonts w:cs="Times New Roman"/>
        </w:rPr>
        <w:t>a</w:t>
      </w:r>
      <w:r w:rsidRPr="064C8778">
        <w:rPr>
          <w:rFonts w:cs="Times New Roman"/>
        </w:rPr>
        <w:t>, as follows:</w:t>
      </w:r>
    </w:p>
    <w:p w14:paraId="2B099CA9" w14:textId="7957D910" w:rsidR="005B566F" w:rsidRDefault="00912E55" w:rsidP="00AC6944">
      <w:pPr>
        <w:spacing w:after="120" w:line="240" w:lineRule="auto"/>
        <w:ind w:left="1418"/>
        <w:jc w:val="both"/>
        <w:rPr>
          <w:rFonts w:cs="Times New Roman"/>
          <w:b/>
          <w:bCs/>
          <w:szCs w:val="24"/>
        </w:rPr>
      </w:pPr>
      <w:r>
        <w:rPr>
          <w:rFonts w:cs="Times New Roman"/>
          <w:szCs w:val="24"/>
        </w:rPr>
        <w:t>“</w:t>
      </w:r>
      <w:r w:rsidR="005B566F">
        <w:rPr>
          <w:rFonts w:cs="Times New Roman"/>
          <w:b/>
          <w:bCs/>
          <w:szCs w:val="24"/>
        </w:rPr>
        <w:t>2. Procedure</w:t>
      </w:r>
    </w:p>
    <w:p w14:paraId="3A2F3180" w14:textId="093EF8EA" w:rsidR="005B566F" w:rsidRDefault="005B566F" w:rsidP="00AC6944">
      <w:pPr>
        <w:spacing w:after="120" w:line="240" w:lineRule="auto"/>
        <w:ind w:left="2138" w:hanging="720"/>
        <w:jc w:val="both"/>
        <w:rPr>
          <w:rFonts w:cs="Times New Roman"/>
          <w:szCs w:val="24"/>
        </w:rPr>
      </w:pPr>
      <w:r>
        <w:rPr>
          <w:rFonts w:cs="Times New Roman"/>
          <w:szCs w:val="24"/>
        </w:rPr>
        <w:t xml:space="preserve">2.1 </w:t>
      </w:r>
      <w:r>
        <w:rPr>
          <w:rFonts w:cs="Times New Roman"/>
          <w:szCs w:val="24"/>
        </w:rPr>
        <w:tab/>
        <w:t xml:space="preserve">If your claim </w:t>
      </w:r>
      <w:r w:rsidR="00933C52">
        <w:rPr>
          <w:rFonts w:cs="Times New Roman"/>
          <w:szCs w:val="24"/>
        </w:rPr>
        <w:t>is</w:t>
      </w:r>
      <w:r>
        <w:rPr>
          <w:rFonts w:cs="Times New Roman"/>
          <w:szCs w:val="24"/>
        </w:rPr>
        <w:t xml:space="preserve"> successful, you will be paid damages by your opponent.  The damages are the amount o</w:t>
      </w:r>
      <w:r w:rsidR="00933C52">
        <w:rPr>
          <w:rFonts w:cs="Times New Roman"/>
          <w:szCs w:val="24"/>
        </w:rPr>
        <w:t>f</w:t>
      </w:r>
      <w:r>
        <w:rPr>
          <w:rFonts w:cs="Times New Roman"/>
          <w:szCs w:val="24"/>
        </w:rPr>
        <w:t xml:space="preserve"> money you will receive.</w:t>
      </w:r>
    </w:p>
    <w:p w14:paraId="5EE86F4D" w14:textId="67908173" w:rsidR="005B566F" w:rsidRPr="005B566F" w:rsidRDefault="005B566F" w:rsidP="00AC6944">
      <w:pPr>
        <w:spacing w:after="120" w:line="240" w:lineRule="auto"/>
        <w:ind w:left="2138" w:hanging="720"/>
        <w:jc w:val="both"/>
        <w:rPr>
          <w:rFonts w:cs="Times New Roman"/>
          <w:szCs w:val="24"/>
        </w:rPr>
      </w:pPr>
      <w:r>
        <w:rPr>
          <w:rFonts w:cs="Times New Roman"/>
          <w:szCs w:val="24"/>
        </w:rPr>
        <w:t>2.2</w:t>
      </w:r>
      <w:r>
        <w:rPr>
          <w:rFonts w:cs="Times New Roman"/>
          <w:szCs w:val="24"/>
        </w:rPr>
        <w:tab/>
      </w:r>
      <w:r>
        <w:rPr>
          <w:rFonts w:cs="Times New Roman"/>
          <w:b/>
          <w:bCs/>
          <w:szCs w:val="24"/>
        </w:rPr>
        <w:t>After</w:t>
      </w:r>
      <w:r>
        <w:rPr>
          <w:rFonts w:cs="Times New Roman"/>
          <w:szCs w:val="24"/>
        </w:rPr>
        <w:t xml:space="preserve"> your damages have bee</w:t>
      </w:r>
      <w:r w:rsidR="00933C52">
        <w:rPr>
          <w:rFonts w:cs="Times New Roman"/>
          <w:szCs w:val="24"/>
        </w:rPr>
        <w:t>n</w:t>
      </w:r>
      <w:r>
        <w:rPr>
          <w:rFonts w:cs="Times New Roman"/>
          <w:szCs w:val="24"/>
        </w:rPr>
        <w:t xml:space="preserve"> awarded, we will seek to re</w:t>
      </w:r>
      <w:r w:rsidR="00933C52">
        <w:rPr>
          <w:rFonts w:cs="Times New Roman"/>
          <w:szCs w:val="24"/>
        </w:rPr>
        <w:t>c</w:t>
      </w:r>
      <w:r>
        <w:rPr>
          <w:rFonts w:cs="Times New Roman"/>
          <w:szCs w:val="24"/>
        </w:rPr>
        <w:t>over our fees, which will comprise our basic costs, disbursements made on your behalf and a success fee.</w:t>
      </w:r>
    </w:p>
    <w:p w14:paraId="26B641F4" w14:textId="5D3A9241" w:rsidR="00912E55" w:rsidRDefault="00912E55" w:rsidP="00AC6944">
      <w:pPr>
        <w:spacing w:after="120" w:line="240" w:lineRule="auto"/>
        <w:ind w:left="1418"/>
        <w:jc w:val="both"/>
        <w:rPr>
          <w:rFonts w:cs="Times New Roman"/>
          <w:szCs w:val="24"/>
        </w:rPr>
      </w:pPr>
      <w:r w:rsidRPr="00765690">
        <w:rPr>
          <w:rFonts w:cs="Times New Roman"/>
          <w:b/>
          <w:bCs/>
          <w:szCs w:val="24"/>
        </w:rPr>
        <w:t>3.  Basic Charges</w:t>
      </w:r>
    </w:p>
    <w:p w14:paraId="3F589FBC" w14:textId="77777777" w:rsidR="00912E55" w:rsidRDefault="00912E55" w:rsidP="00AC6944">
      <w:pPr>
        <w:spacing w:after="120" w:line="240" w:lineRule="auto"/>
        <w:ind w:left="2158" w:hanging="740"/>
        <w:jc w:val="both"/>
        <w:rPr>
          <w:rFonts w:cs="Times New Roman"/>
          <w:szCs w:val="24"/>
        </w:rPr>
      </w:pPr>
      <w:r>
        <w:rPr>
          <w:rFonts w:cs="Times New Roman"/>
          <w:szCs w:val="24"/>
        </w:rPr>
        <w:t>3.1</w:t>
      </w:r>
      <w:r>
        <w:rPr>
          <w:rFonts w:cs="Times New Roman"/>
          <w:szCs w:val="24"/>
        </w:rPr>
        <w:tab/>
        <w:t>These are our charges for the legal work we do, based on the rate we charge which is set out in the enclosed Client Care Booklet.</w:t>
      </w:r>
    </w:p>
    <w:p w14:paraId="54961C70" w14:textId="345EF9B4" w:rsidR="00933C52" w:rsidRDefault="00912E55" w:rsidP="00AC6944">
      <w:pPr>
        <w:spacing w:after="120" w:line="240" w:lineRule="auto"/>
        <w:ind w:left="2158" w:hanging="740"/>
        <w:jc w:val="both"/>
        <w:rPr>
          <w:rFonts w:cs="Times New Roman"/>
          <w:szCs w:val="24"/>
        </w:rPr>
      </w:pPr>
      <w:r>
        <w:rPr>
          <w:rFonts w:cs="Times New Roman"/>
          <w:szCs w:val="24"/>
        </w:rPr>
        <w:t>3.2</w:t>
      </w:r>
      <w:r>
        <w:rPr>
          <w:rFonts w:cs="Times New Roman"/>
          <w:szCs w:val="24"/>
        </w:rPr>
        <w:tab/>
        <w:t xml:space="preserve">You agree to these hourly rates, expressly understanding the following; it may be that your case is one to which the court fixed fees apply.  This means that the amount of costs which your opponent will have to pay if your </w:t>
      </w:r>
      <w:r w:rsidR="00441272">
        <w:rPr>
          <w:rFonts w:cs="Times New Roman"/>
          <w:szCs w:val="24"/>
        </w:rPr>
        <w:t>(</w:t>
      </w:r>
      <w:r w:rsidR="00441272" w:rsidRPr="00441272">
        <w:rPr>
          <w:rFonts w:cs="Times New Roman"/>
          <w:i/>
          <w:iCs/>
          <w:szCs w:val="24"/>
        </w:rPr>
        <w:t>sic</w:t>
      </w:r>
      <w:r w:rsidR="00441272">
        <w:rPr>
          <w:rFonts w:cs="Times New Roman"/>
          <w:szCs w:val="24"/>
        </w:rPr>
        <w:t xml:space="preserve">) </w:t>
      </w:r>
      <w:r>
        <w:rPr>
          <w:rFonts w:cs="Times New Roman"/>
          <w:szCs w:val="24"/>
        </w:rPr>
        <w:t>win is limited to a fixed sum.  The costs which are chargeable under this agreement will almost certainly exceed those fixed costs and so you will be required to pay the shortfall from your damages.  This is because the Solicitors’ basic charge</w:t>
      </w:r>
      <w:r w:rsidR="004B5D22">
        <w:rPr>
          <w:rFonts w:cs="Times New Roman"/>
          <w:szCs w:val="24"/>
        </w:rPr>
        <w:t>s</w:t>
      </w:r>
      <w:r>
        <w:rPr>
          <w:rFonts w:cs="Times New Roman"/>
          <w:szCs w:val="24"/>
        </w:rPr>
        <w:t xml:space="preserve"> are comprised of hourly rates </w:t>
      </w:r>
      <w:r w:rsidR="00441272">
        <w:rPr>
          <w:rFonts w:cs="Times New Roman"/>
          <w:szCs w:val="24"/>
        </w:rPr>
        <w:t>which when multipl</w:t>
      </w:r>
      <w:r w:rsidR="00933C52">
        <w:rPr>
          <w:rFonts w:cs="Times New Roman"/>
          <w:szCs w:val="24"/>
        </w:rPr>
        <w:t>i</w:t>
      </w:r>
      <w:r w:rsidR="00441272">
        <w:rPr>
          <w:rFonts w:cs="Times New Roman"/>
          <w:szCs w:val="24"/>
        </w:rPr>
        <w:t xml:space="preserve">ed by the likely number of hours worked will exceed the fixed fees payable by the opponent.  Even if your case is not a fixed fee case, the hourly rates </w:t>
      </w:r>
      <w:r>
        <w:rPr>
          <w:rFonts w:cs="Times New Roman"/>
          <w:szCs w:val="24"/>
        </w:rPr>
        <w:t>are higher than the rates which the court is likely to order your opponent to pay to</w:t>
      </w:r>
      <w:r w:rsidR="00441272">
        <w:rPr>
          <w:rFonts w:cs="Times New Roman"/>
          <w:szCs w:val="24"/>
        </w:rPr>
        <w:t xml:space="preserve"> (</w:t>
      </w:r>
      <w:r w:rsidR="00441272">
        <w:rPr>
          <w:rFonts w:cs="Times New Roman"/>
          <w:i/>
          <w:iCs/>
          <w:szCs w:val="24"/>
        </w:rPr>
        <w:t>sic</w:t>
      </w:r>
      <w:r w:rsidR="00441272">
        <w:rPr>
          <w:rFonts w:cs="Times New Roman"/>
          <w:szCs w:val="24"/>
        </w:rPr>
        <w:t>)</w:t>
      </w:r>
      <w:r>
        <w:rPr>
          <w:rFonts w:cs="Times New Roman"/>
          <w:szCs w:val="24"/>
        </w:rPr>
        <w:t xml:space="preserve">.  We believe these rates are justified to reflect the skill and specialised knowledge in the handling of your claim.  However, we are required to provide a warning to you that the hourly rates might not be recovered from your opponent and that you nevertheless approve the rates which we are charging.  This warning having been given, you permit payment to us of an amount of costs </w:t>
      </w:r>
      <w:r>
        <w:rPr>
          <w:rFonts w:cs="Times New Roman"/>
          <w:szCs w:val="24"/>
        </w:rPr>
        <w:lastRenderedPageBreak/>
        <w:t>greater than that which you can recover from another party to the proceedings.</w:t>
      </w:r>
    </w:p>
    <w:p w14:paraId="57EC96E2" w14:textId="2EBC5CB6" w:rsidR="00912E55" w:rsidRDefault="00933C52" w:rsidP="00AC6944">
      <w:pPr>
        <w:spacing w:after="120" w:line="240" w:lineRule="auto"/>
        <w:ind w:left="2158" w:hanging="740"/>
        <w:jc w:val="both"/>
        <w:rPr>
          <w:rFonts w:cs="Times New Roman"/>
          <w:szCs w:val="24"/>
        </w:rPr>
      </w:pPr>
      <w:r>
        <w:rPr>
          <w:rFonts w:cs="Times New Roman"/>
          <w:szCs w:val="24"/>
        </w:rPr>
        <w:t>3.3</w:t>
      </w:r>
      <w:r>
        <w:rPr>
          <w:rFonts w:cs="Times New Roman"/>
          <w:szCs w:val="24"/>
        </w:rPr>
        <w:tab/>
        <w:t>Further to the above warning as to recoverable costs, s 74(3) of the Solicitors Act 1974 shall not apply and having been warned that hourly rates may not be recovered in full you accept that the rates are chargeable in full.”</w:t>
      </w:r>
      <w:r w:rsidR="00912E55">
        <w:rPr>
          <w:rFonts w:cs="Times New Roman"/>
          <w:szCs w:val="24"/>
        </w:rPr>
        <w:t>”</w:t>
      </w:r>
    </w:p>
    <w:p w14:paraId="3E042DA4" w14:textId="6C4C54DC" w:rsidR="00912E55" w:rsidRPr="00C432A8" w:rsidRDefault="00912E55" w:rsidP="00AC6944">
      <w:pPr>
        <w:spacing w:after="120" w:line="240" w:lineRule="auto"/>
        <w:ind w:left="1418"/>
        <w:jc w:val="both"/>
        <w:rPr>
          <w:rFonts w:cs="Times New Roman"/>
          <w:b/>
          <w:szCs w:val="24"/>
        </w:rPr>
      </w:pPr>
      <w:r>
        <w:rPr>
          <w:rFonts w:cs="Times New Roman"/>
          <w:szCs w:val="24"/>
        </w:rPr>
        <w:t>“</w:t>
      </w:r>
      <w:r w:rsidRPr="00C432A8">
        <w:rPr>
          <w:rFonts w:cs="Times New Roman"/>
          <w:b/>
          <w:szCs w:val="24"/>
        </w:rPr>
        <w:t>8.  What happens if you win</w:t>
      </w:r>
    </w:p>
    <w:p w14:paraId="5CBA9E32" w14:textId="77777777" w:rsidR="00912E55" w:rsidRDefault="00912E55" w:rsidP="00AC6944">
      <w:pPr>
        <w:spacing w:after="120" w:line="240" w:lineRule="auto"/>
        <w:ind w:left="2158" w:hanging="740"/>
        <w:jc w:val="both"/>
        <w:rPr>
          <w:rFonts w:cs="Times New Roman"/>
          <w:szCs w:val="24"/>
        </w:rPr>
      </w:pPr>
      <w:r>
        <w:rPr>
          <w:rFonts w:cs="Times New Roman"/>
          <w:szCs w:val="24"/>
        </w:rPr>
        <w:t>8.1</w:t>
      </w:r>
      <w:r>
        <w:rPr>
          <w:rFonts w:cs="Times New Roman"/>
          <w:szCs w:val="24"/>
        </w:rPr>
        <w:tab/>
        <w:t>You are then liable to pay all our basic charges, disbursements, success fee and the insurance premium for any After-the-Event insurance taken out.</w:t>
      </w:r>
    </w:p>
    <w:p w14:paraId="6EE37011" w14:textId="77777777" w:rsidR="00912E55" w:rsidRDefault="00912E55" w:rsidP="00AC6944">
      <w:pPr>
        <w:spacing w:after="120" w:line="240" w:lineRule="auto"/>
        <w:ind w:left="2158" w:hanging="740"/>
        <w:jc w:val="both"/>
        <w:rPr>
          <w:rFonts w:cs="Times New Roman"/>
          <w:szCs w:val="24"/>
        </w:rPr>
      </w:pPr>
      <w:r>
        <w:rPr>
          <w:rFonts w:cs="Times New Roman"/>
          <w:szCs w:val="24"/>
        </w:rPr>
        <w:t>8.2</w:t>
      </w:r>
      <w:r>
        <w:rPr>
          <w:rFonts w:cs="Times New Roman"/>
          <w:szCs w:val="24"/>
        </w:rPr>
        <w:tab/>
        <w:t>You may be able to recover part or all of our basic charges and disbursements from your opponent.  If for whatever reason you cannot recover all of our costs and disbursements from your opponent then you remain liable to pay them to us.</w:t>
      </w:r>
    </w:p>
    <w:p w14:paraId="454B4F56" w14:textId="77777777" w:rsidR="00912E55" w:rsidRDefault="00912E55" w:rsidP="00AC6944">
      <w:pPr>
        <w:spacing w:after="120" w:line="240" w:lineRule="auto"/>
        <w:ind w:left="2158" w:hanging="740"/>
        <w:jc w:val="both"/>
        <w:rPr>
          <w:rFonts w:cs="Times New Roman"/>
          <w:szCs w:val="24"/>
        </w:rPr>
      </w:pPr>
      <w:r>
        <w:rPr>
          <w:rFonts w:cs="Times New Roman"/>
          <w:szCs w:val="24"/>
        </w:rPr>
        <w:t>8.3</w:t>
      </w:r>
      <w:r>
        <w:rPr>
          <w:rFonts w:cs="Times New Roman"/>
          <w:szCs w:val="24"/>
        </w:rPr>
        <w:tab/>
        <w:t>You will not be able to recover the Success Fee or your insurance premium (if applicable) from your opponent.  You must pay both costs yourself.</w:t>
      </w:r>
    </w:p>
    <w:p w14:paraId="361CDC20" w14:textId="0797054F" w:rsidR="00912E55" w:rsidRDefault="00912E55" w:rsidP="00AC6944">
      <w:pPr>
        <w:spacing w:after="240" w:line="240" w:lineRule="auto"/>
        <w:ind w:left="2161" w:hanging="743"/>
        <w:jc w:val="both"/>
        <w:rPr>
          <w:rFonts w:cs="Times New Roman"/>
          <w:szCs w:val="24"/>
        </w:rPr>
      </w:pPr>
      <w:r>
        <w:rPr>
          <w:rFonts w:cs="Times New Roman"/>
          <w:szCs w:val="24"/>
        </w:rPr>
        <w:t>8.4</w:t>
      </w:r>
      <w:r>
        <w:rPr>
          <w:rFonts w:cs="Times New Roman"/>
          <w:szCs w:val="24"/>
        </w:rPr>
        <w:tab/>
        <w:t>If you and your opponent cannot agree the amount, the Court will decide how much you can recover.  If the amount agreed or allowed by the Court does not cover all our basic charges and disbursements, we will seek to recover the balance from you.”</w:t>
      </w:r>
    </w:p>
    <w:p w14:paraId="47B36165" w14:textId="213B834D" w:rsidR="005B566F" w:rsidRDefault="005B566F" w:rsidP="00AC6944">
      <w:pPr>
        <w:spacing w:after="240" w:line="240" w:lineRule="auto"/>
        <w:ind w:left="2161" w:hanging="743"/>
        <w:jc w:val="both"/>
        <w:rPr>
          <w:rFonts w:cs="Times New Roman"/>
          <w:szCs w:val="24"/>
        </w:rPr>
      </w:pPr>
      <w:r>
        <w:rPr>
          <w:rFonts w:cs="Times New Roman"/>
          <w:szCs w:val="24"/>
        </w:rPr>
        <w:t>“</w:t>
      </w:r>
      <w:r>
        <w:rPr>
          <w:rFonts w:cs="Times New Roman"/>
          <w:b/>
          <w:bCs/>
          <w:szCs w:val="24"/>
        </w:rPr>
        <w:t>Our responsibilities – we must:</w:t>
      </w:r>
    </w:p>
    <w:p w14:paraId="0328D32E" w14:textId="3C4DB08F" w:rsidR="005B566F" w:rsidRDefault="005B566F" w:rsidP="00AC6944">
      <w:pPr>
        <w:spacing w:after="240" w:line="240" w:lineRule="auto"/>
        <w:ind w:left="2161" w:hanging="743"/>
        <w:jc w:val="both"/>
        <w:rPr>
          <w:rFonts w:cs="Times New Roman"/>
          <w:szCs w:val="24"/>
        </w:rPr>
      </w:pPr>
      <w:r>
        <w:rPr>
          <w:rFonts w:cs="Times New Roman"/>
          <w:szCs w:val="24"/>
        </w:rPr>
        <w:t>16.1</w:t>
      </w:r>
      <w:r>
        <w:rPr>
          <w:rFonts w:cs="Times New Roman"/>
          <w:szCs w:val="24"/>
        </w:rPr>
        <w:tab/>
        <w:t>Always act in your best interests, subject to our duty to the court;</w:t>
      </w:r>
    </w:p>
    <w:p w14:paraId="0B7B2C67" w14:textId="42C05446" w:rsidR="005B566F" w:rsidRDefault="005B566F" w:rsidP="00AC6944">
      <w:pPr>
        <w:spacing w:after="240" w:line="240" w:lineRule="auto"/>
        <w:ind w:left="2161" w:hanging="743"/>
        <w:jc w:val="both"/>
        <w:rPr>
          <w:rFonts w:cs="Times New Roman"/>
          <w:szCs w:val="24"/>
        </w:rPr>
      </w:pPr>
      <w:r>
        <w:rPr>
          <w:rFonts w:cs="Times New Roman"/>
          <w:szCs w:val="24"/>
        </w:rPr>
        <w:t>16.2</w:t>
      </w:r>
      <w:r>
        <w:rPr>
          <w:rFonts w:cs="Times New Roman"/>
          <w:szCs w:val="24"/>
        </w:rPr>
        <w:tab/>
        <w:t>Explain to you the risks and benefits of taking legal action;</w:t>
      </w:r>
    </w:p>
    <w:p w14:paraId="43342239" w14:textId="1CE6158A" w:rsidR="005B566F" w:rsidRDefault="005B566F" w:rsidP="00AC6944">
      <w:pPr>
        <w:spacing w:after="240" w:line="240" w:lineRule="auto"/>
        <w:ind w:left="2161" w:hanging="743"/>
        <w:jc w:val="both"/>
        <w:rPr>
          <w:rFonts w:cs="Times New Roman"/>
          <w:szCs w:val="24"/>
        </w:rPr>
      </w:pPr>
      <w:r>
        <w:rPr>
          <w:rFonts w:cs="Times New Roman"/>
          <w:szCs w:val="24"/>
        </w:rPr>
        <w:tab/>
        <w:t>…</w:t>
      </w:r>
    </w:p>
    <w:p w14:paraId="41D4FEA3" w14:textId="4041E3BF" w:rsidR="005B566F" w:rsidRPr="005B566F" w:rsidRDefault="005B566F" w:rsidP="00AC6944">
      <w:pPr>
        <w:spacing w:after="240" w:line="240" w:lineRule="auto"/>
        <w:ind w:left="2161" w:hanging="743"/>
        <w:jc w:val="both"/>
        <w:rPr>
          <w:rFonts w:cs="Times New Roman"/>
          <w:szCs w:val="24"/>
        </w:rPr>
      </w:pPr>
      <w:r>
        <w:rPr>
          <w:rFonts w:cs="Times New Roman"/>
          <w:szCs w:val="24"/>
        </w:rPr>
        <w:t>16.4</w:t>
      </w:r>
      <w:r>
        <w:rPr>
          <w:rFonts w:cs="Times New Roman"/>
          <w:szCs w:val="24"/>
        </w:rPr>
        <w:tab/>
        <w:t>Give you the best information possible about the likely costs of your claim for damages.”</w:t>
      </w:r>
    </w:p>
    <w:p w14:paraId="1851E7F8" w14:textId="5534D58C" w:rsidR="000C13EF" w:rsidRDefault="00E52B8F" w:rsidP="00AC6944">
      <w:pPr>
        <w:pStyle w:val="ListParagraph"/>
        <w:numPr>
          <w:ilvl w:val="0"/>
          <w:numId w:val="15"/>
        </w:numPr>
        <w:spacing w:after="240" w:line="240" w:lineRule="auto"/>
        <w:contextualSpacing w:val="0"/>
        <w:jc w:val="both"/>
        <w:rPr>
          <w:rFonts w:eastAsia="Times New Roman" w:cs="Times New Roman"/>
          <w:szCs w:val="24"/>
        </w:rPr>
      </w:pPr>
      <w:bookmarkStart w:id="1" w:name="_Hlk72236404"/>
      <w:r>
        <w:rPr>
          <w:rFonts w:eastAsia="Times New Roman" w:cs="Times New Roman"/>
          <w:szCs w:val="24"/>
        </w:rPr>
        <w:t xml:space="preserve">Again, although this document referred to a Client Care Booklet, no such booklet was in evidence before the </w:t>
      </w:r>
      <w:r w:rsidR="00F35B6C">
        <w:rPr>
          <w:rFonts w:eastAsia="Times New Roman" w:cs="Times New Roman"/>
          <w:szCs w:val="24"/>
        </w:rPr>
        <w:t>d</w:t>
      </w:r>
      <w:r w:rsidR="00E57DAB">
        <w:rPr>
          <w:rFonts w:eastAsia="Times New Roman" w:cs="Times New Roman"/>
          <w:szCs w:val="24"/>
        </w:rPr>
        <w:t>istrict</w:t>
      </w:r>
      <w:r>
        <w:rPr>
          <w:rFonts w:eastAsia="Times New Roman" w:cs="Times New Roman"/>
          <w:szCs w:val="24"/>
        </w:rPr>
        <w:t xml:space="preserve"> </w:t>
      </w:r>
      <w:r w:rsidR="00F35B6C">
        <w:rPr>
          <w:rFonts w:eastAsia="Times New Roman" w:cs="Times New Roman"/>
          <w:szCs w:val="24"/>
        </w:rPr>
        <w:t>j</w:t>
      </w:r>
      <w:r w:rsidR="00E57DAB">
        <w:rPr>
          <w:rFonts w:eastAsia="Times New Roman" w:cs="Times New Roman"/>
          <w:szCs w:val="24"/>
        </w:rPr>
        <w:t>udge</w:t>
      </w:r>
      <w:r>
        <w:rPr>
          <w:rFonts w:eastAsia="Times New Roman" w:cs="Times New Roman"/>
          <w:szCs w:val="24"/>
        </w:rPr>
        <w:t xml:space="preserve"> or me.  Moreover, a</w:t>
      </w:r>
      <w:r w:rsidR="000C13EF">
        <w:rPr>
          <w:rFonts w:eastAsia="Times New Roman" w:cs="Times New Roman"/>
          <w:szCs w:val="24"/>
        </w:rPr>
        <w:t xml:space="preserve">lthough paragraphs 3.1 and 3.2 of this document referred to the Defendant’s hourly rates and said that they were set out in </w:t>
      </w:r>
      <w:r>
        <w:rPr>
          <w:rFonts w:eastAsia="Times New Roman" w:cs="Times New Roman"/>
          <w:szCs w:val="24"/>
        </w:rPr>
        <w:t>the</w:t>
      </w:r>
      <w:r w:rsidR="000C13EF">
        <w:rPr>
          <w:rFonts w:eastAsia="Times New Roman" w:cs="Times New Roman"/>
          <w:szCs w:val="24"/>
        </w:rPr>
        <w:t xml:space="preserve"> Client Care Booklet</w:t>
      </w:r>
      <w:r w:rsidRPr="00E52B8F">
        <w:t xml:space="preserve"> </w:t>
      </w:r>
      <w:r w:rsidRPr="00E52B8F">
        <w:rPr>
          <w:rFonts w:eastAsia="Times New Roman" w:cs="Times New Roman"/>
          <w:szCs w:val="24"/>
        </w:rPr>
        <w:t>and that the Claim</w:t>
      </w:r>
      <w:r>
        <w:rPr>
          <w:rFonts w:eastAsia="Times New Roman" w:cs="Times New Roman"/>
          <w:szCs w:val="24"/>
        </w:rPr>
        <w:t>a</w:t>
      </w:r>
      <w:r w:rsidRPr="00E52B8F">
        <w:rPr>
          <w:rFonts w:eastAsia="Times New Roman" w:cs="Times New Roman"/>
          <w:szCs w:val="24"/>
        </w:rPr>
        <w:t>nt agreed and approved them</w:t>
      </w:r>
      <w:r w:rsidR="000C13EF">
        <w:rPr>
          <w:rFonts w:eastAsia="Times New Roman" w:cs="Times New Roman"/>
          <w:szCs w:val="24"/>
        </w:rPr>
        <w:t>, I was not shown any contractual document which set out the Defendant’s hourly rates.</w:t>
      </w:r>
    </w:p>
    <w:bookmarkEnd w:id="1"/>
    <w:p w14:paraId="71733554" w14:textId="0EFCFA03" w:rsidR="000C13EF" w:rsidRPr="00EA090C" w:rsidRDefault="000C13EF" w:rsidP="00AC6944">
      <w:pPr>
        <w:pStyle w:val="ListParagraph"/>
        <w:spacing w:after="240" w:line="240" w:lineRule="auto"/>
        <w:contextualSpacing w:val="0"/>
        <w:jc w:val="both"/>
        <w:rPr>
          <w:rFonts w:eastAsia="Times New Roman" w:cs="Times New Roman"/>
          <w:b/>
          <w:bCs/>
          <w:i/>
          <w:iCs/>
          <w:szCs w:val="24"/>
        </w:rPr>
      </w:pPr>
      <w:r>
        <w:rPr>
          <w:rFonts w:eastAsia="Times New Roman" w:cs="Times New Roman"/>
          <w:b/>
          <w:bCs/>
          <w:i/>
          <w:iCs/>
          <w:szCs w:val="24"/>
        </w:rPr>
        <w:t>(2)(c) The Claim against Aviva</w:t>
      </w:r>
    </w:p>
    <w:p w14:paraId="6C45410D" w14:textId="500D916D" w:rsidR="00451E56" w:rsidRDefault="1B022B85" w:rsidP="00AC6944">
      <w:pPr>
        <w:pStyle w:val="ListParagraph"/>
        <w:numPr>
          <w:ilvl w:val="0"/>
          <w:numId w:val="15"/>
        </w:numPr>
        <w:spacing w:after="240" w:line="240" w:lineRule="auto"/>
        <w:contextualSpacing w:val="0"/>
        <w:jc w:val="both"/>
        <w:rPr>
          <w:rFonts w:eastAsia="Times New Roman" w:cs="Times New Roman"/>
          <w:szCs w:val="24"/>
        </w:rPr>
      </w:pPr>
      <w:r w:rsidRPr="064C8778">
        <w:rPr>
          <w:rFonts w:eastAsia="Times New Roman" w:cs="Times New Roman"/>
          <w:szCs w:val="24"/>
        </w:rPr>
        <w:t xml:space="preserve">The Defendant pursued the claim against </w:t>
      </w:r>
      <w:r w:rsidR="75A154A8" w:rsidRPr="064C8778">
        <w:rPr>
          <w:rFonts w:eastAsia="Times New Roman" w:cs="Times New Roman"/>
          <w:szCs w:val="24"/>
        </w:rPr>
        <w:t xml:space="preserve">Aviva </w:t>
      </w:r>
      <w:r w:rsidRPr="064C8778">
        <w:rPr>
          <w:rFonts w:eastAsia="Times New Roman" w:cs="Times New Roman"/>
          <w:szCs w:val="24"/>
        </w:rPr>
        <w:t>in accordance with the Pre-Action Protocol for Low Value Personal Injury Claims in Road Traffic Accidents</w:t>
      </w:r>
      <w:r w:rsidR="004213BB">
        <w:rPr>
          <w:rFonts w:eastAsia="Times New Roman" w:cs="Times New Roman"/>
          <w:szCs w:val="24"/>
        </w:rPr>
        <w:t xml:space="preserve"> (“the Protocol”)</w:t>
      </w:r>
      <w:r w:rsidRPr="064C8778">
        <w:rPr>
          <w:rFonts w:eastAsia="Times New Roman" w:cs="Times New Roman"/>
          <w:szCs w:val="24"/>
        </w:rPr>
        <w:t xml:space="preserve">.  </w:t>
      </w:r>
      <w:r w:rsidR="004213BB">
        <w:rPr>
          <w:rFonts w:eastAsia="Times New Roman" w:cs="Times New Roman"/>
          <w:szCs w:val="24"/>
        </w:rPr>
        <w:t>I summarised the relevant provision</w:t>
      </w:r>
      <w:r w:rsidR="00D50107">
        <w:rPr>
          <w:rFonts w:eastAsia="Times New Roman" w:cs="Times New Roman"/>
          <w:szCs w:val="24"/>
        </w:rPr>
        <w:t>s</w:t>
      </w:r>
      <w:r w:rsidR="004213BB">
        <w:rPr>
          <w:rFonts w:eastAsia="Times New Roman" w:cs="Times New Roman"/>
          <w:szCs w:val="24"/>
        </w:rPr>
        <w:t xml:space="preserve"> of the Protocol and of CPR 4</w:t>
      </w:r>
      <w:r w:rsidR="004B5D22">
        <w:rPr>
          <w:rFonts w:eastAsia="Times New Roman" w:cs="Times New Roman"/>
          <w:szCs w:val="24"/>
        </w:rPr>
        <w:t>5</w:t>
      </w:r>
      <w:r w:rsidR="004213BB">
        <w:rPr>
          <w:rFonts w:eastAsia="Times New Roman" w:cs="Times New Roman"/>
          <w:szCs w:val="24"/>
        </w:rPr>
        <w:t xml:space="preserve"> in </w:t>
      </w:r>
      <w:r w:rsidR="004B5D22">
        <w:rPr>
          <w:rFonts w:eastAsia="Times New Roman" w:cs="Times New Roman"/>
          <w:szCs w:val="24"/>
        </w:rPr>
        <w:t xml:space="preserve">paragraphs 52 to 63 of </w:t>
      </w:r>
      <w:r w:rsidR="004213BB">
        <w:rPr>
          <w:rFonts w:eastAsia="Times New Roman" w:cs="Times New Roman"/>
          <w:szCs w:val="24"/>
        </w:rPr>
        <w:t xml:space="preserve">my judgment in </w:t>
      </w:r>
      <w:r w:rsidR="004213BB">
        <w:rPr>
          <w:rFonts w:eastAsia="Times New Roman" w:cs="Times New Roman"/>
          <w:i/>
          <w:iCs/>
          <w:szCs w:val="24"/>
        </w:rPr>
        <w:t xml:space="preserve">Belsner v Cam Legal Services </w:t>
      </w:r>
      <w:r w:rsidR="004213BB" w:rsidRPr="004B5D22">
        <w:rPr>
          <w:rFonts w:eastAsia="Times New Roman" w:cs="Times New Roman"/>
          <w:i/>
          <w:iCs/>
          <w:szCs w:val="24"/>
        </w:rPr>
        <w:t>Ltd</w:t>
      </w:r>
      <w:r w:rsidR="004213BB">
        <w:rPr>
          <w:rFonts w:eastAsia="Times New Roman" w:cs="Times New Roman"/>
          <w:szCs w:val="24"/>
        </w:rPr>
        <w:t xml:space="preserve"> and I need </w:t>
      </w:r>
      <w:r w:rsidR="00D50107">
        <w:rPr>
          <w:rFonts w:eastAsia="Times New Roman" w:cs="Times New Roman"/>
          <w:szCs w:val="24"/>
        </w:rPr>
        <w:t xml:space="preserve">not repeat that summary.  </w:t>
      </w:r>
      <w:r w:rsidR="6F81A77A" w:rsidRPr="004213BB">
        <w:rPr>
          <w:rFonts w:eastAsia="Times New Roman" w:cs="Times New Roman"/>
          <w:szCs w:val="24"/>
        </w:rPr>
        <w:t>The</w:t>
      </w:r>
      <w:r w:rsidR="6F81A77A" w:rsidRPr="064C8778">
        <w:rPr>
          <w:rFonts w:eastAsia="Times New Roman" w:cs="Times New Roman"/>
          <w:szCs w:val="24"/>
        </w:rPr>
        <w:t xml:space="preserve"> Defendant obtained </w:t>
      </w:r>
      <w:r w:rsidR="00765690">
        <w:rPr>
          <w:rFonts w:eastAsia="Times New Roman" w:cs="Times New Roman"/>
          <w:szCs w:val="24"/>
        </w:rPr>
        <w:t>ATE insurance at a cost o</w:t>
      </w:r>
      <w:r w:rsidR="00451E56">
        <w:rPr>
          <w:rFonts w:eastAsia="Times New Roman" w:cs="Times New Roman"/>
          <w:szCs w:val="24"/>
        </w:rPr>
        <w:t>f</w:t>
      </w:r>
      <w:r w:rsidR="00765690">
        <w:rPr>
          <w:rFonts w:eastAsia="Times New Roman" w:cs="Times New Roman"/>
          <w:szCs w:val="24"/>
        </w:rPr>
        <w:t xml:space="preserve"> £143</w:t>
      </w:r>
      <w:r w:rsidR="00451E56">
        <w:rPr>
          <w:rFonts w:eastAsia="Times New Roman" w:cs="Times New Roman"/>
          <w:szCs w:val="24"/>
        </w:rPr>
        <w:t xml:space="preserve"> and </w:t>
      </w:r>
      <w:r w:rsidR="6F81A77A" w:rsidRPr="064C8778">
        <w:rPr>
          <w:rFonts w:eastAsia="Times New Roman" w:cs="Times New Roman"/>
          <w:szCs w:val="24"/>
        </w:rPr>
        <w:t>a medical report at a cost of £216 (</w:t>
      </w:r>
      <w:r w:rsidR="00090B48">
        <w:rPr>
          <w:rFonts w:eastAsia="Times New Roman" w:cs="Times New Roman"/>
          <w:szCs w:val="24"/>
        </w:rPr>
        <w:t xml:space="preserve">i.e. £180 plus </w:t>
      </w:r>
      <w:r w:rsidR="6F81A77A" w:rsidRPr="064C8778">
        <w:rPr>
          <w:rFonts w:eastAsia="Times New Roman" w:cs="Times New Roman"/>
          <w:szCs w:val="24"/>
        </w:rPr>
        <w:t>VAT</w:t>
      </w:r>
      <w:r w:rsidR="00090B48">
        <w:rPr>
          <w:rFonts w:eastAsia="Times New Roman" w:cs="Times New Roman"/>
          <w:szCs w:val="24"/>
        </w:rPr>
        <w:t xml:space="preserve"> of £36</w:t>
      </w:r>
      <w:r w:rsidR="6F81A77A" w:rsidRPr="064C8778">
        <w:rPr>
          <w:rFonts w:eastAsia="Times New Roman" w:cs="Times New Roman"/>
          <w:szCs w:val="24"/>
        </w:rPr>
        <w:t xml:space="preserve">).  </w:t>
      </w:r>
    </w:p>
    <w:p w14:paraId="563EA452" w14:textId="4689425D" w:rsidR="00451E56" w:rsidRDefault="1B022B85" w:rsidP="00AC6944">
      <w:pPr>
        <w:pStyle w:val="ListParagraph"/>
        <w:numPr>
          <w:ilvl w:val="0"/>
          <w:numId w:val="15"/>
        </w:numPr>
        <w:spacing w:after="240" w:line="240" w:lineRule="auto"/>
        <w:contextualSpacing w:val="0"/>
        <w:jc w:val="both"/>
        <w:rPr>
          <w:rFonts w:eastAsia="Times New Roman" w:cs="Times New Roman"/>
          <w:szCs w:val="24"/>
        </w:rPr>
      </w:pPr>
      <w:r w:rsidRPr="064C8778">
        <w:rPr>
          <w:rFonts w:eastAsia="Times New Roman" w:cs="Times New Roman"/>
          <w:szCs w:val="24"/>
        </w:rPr>
        <w:lastRenderedPageBreak/>
        <w:t xml:space="preserve">Liability was admitted and </w:t>
      </w:r>
      <w:r w:rsidR="75E83DDE" w:rsidRPr="064C8778">
        <w:rPr>
          <w:rFonts w:eastAsia="Times New Roman" w:cs="Times New Roman"/>
          <w:szCs w:val="24"/>
        </w:rPr>
        <w:t xml:space="preserve">on 15 December 2016 </w:t>
      </w:r>
      <w:r w:rsidR="1FFBB776" w:rsidRPr="064C8778">
        <w:rPr>
          <w:rFonts w:eastAsia="Times New Roman" w:cs="Times New Roman"/>
          <w:szCs w:val="24"/>
        </w:rPr>
        <w:t>Aviva</w:t>
      </w:r>
      <w:r w:rsidRPr="064C8778">
        <w:rPr>
          <w:rFonts w:eastAsia="Times New Roman" w:cs="Times New Roman"/>
          <w:szCs w:val="24"/>
        </w:rPr>
        <w:t xml:space="preserve"> paid the Stage 1 fixed costs as required by paragraph 6.18 of the Protocol in the amount provided for in CPR 45.18 (i.e. £200 plus VAT</w:t>
      </w:r>
      <w:r w:rsidR="00090B48">
        <w:rPr>
          <w:rFonts w:eastAsia="Times New Roman" w:cs="Times New Roman"/>
          <w:szCs w:val="24"/>
        </w:rPr>
        <w:t xml:space="preserve"> of £40</w:t>
      </w:r>
      <w:r w:rsidRPr="064C8778">
        <w:rPr>
          <w:rFonts w:eastAsia="Times New Roman" w:cs="Times New Roman"/>
          <w:szCs w:val="24"/>
        </w:rPr>
        <w:t>)</w:t>
      </w:r>
      <w:r w:rsidR="7B74E018" w:rsidRPr="064C8778">
        <w:rPr>
          <w:rFonts w:eastAsia="Times New Roman" w:cs="Times New Roman"/>
          <w:szCs w:val="24"/>
        </w:rPr>
        <w:t>, togeth</w:t>
      </w:r>
      <w:r w:rsidR="50790316" w:rsidRPr="064C8778">
        <w:rPr>
          <w:rFonts w:eastAsia="Times New Roman" w:cs="Times New Roman"/>
          <w:szCs w:val="24"/>
        </w:rPr>
        <w:t>er</w:t>
      </w:r>
      <w:r w:rsidR="7B74E018" w:rsidRPr="064C8778">
        <w:rPr>
          <w:rFonts w:eastAsia="Times New Roman" w:cs="Times New Roman"/>
          <w:szCs w:val="24"/>
        </w:rPr>
        <w:t xml:space="preserve"> with the fee fo</w:t>
      </w:r>
      <w:r w:rsidR="62A3254B" w:rsidRPr="064C8778">
        <w:rPr>
          <w:rFonts w:eastAsia="Times New Roman" w:cs="Times New Roman"/>
          <w:szCs w:val="24"/>
        </w:rPr>
        <w:t>r the medical report</w:t>
      </w:r>
      <w:r w:rsidRPr="064C8778">
        <w:rPr>
          <w:rFonts w:eastAsia="Times New Roman" w:cs="Times New Roman"/>
          <w:szCs w:val="24"/>
        </w:rPr>
        <w:t xml:space="preserve">.   </w:t>
      </w:r>
    </w:p>
    <w:p w14:paraId="0081EFC0" w14:textId="5CC9D6D0" w:rsidR="00451E56" w:rsidRDefault="779D3F95" w:rsidP="00AC6944">
      <w:pPr>
        <w:pStyle w:val="ListParagraph"/>
        <w:numPr>
          <w:ilvl w:val="0"/>
          <w:numId w:val="15"/>
        </w:numPr>
        <w:spacing w:after="240" w:line="240" w:lineRule="auto"/>
        <w:contextualSpacing w:val="0"/>
        <w:jc w:val="both"/>
        <w:rPr>
          <w:rFonts w:eastAsia="Times New Roman" w:cs="Times New Roman"/>
          <w:szCs w:val="24"/>
        </w:rPr>
      </w:pPr>
      <w:r w:rsidRPr="064C8778">
        <w:rPr>
          <w:rFonts w:eastAsia="Times New Roman" w:cs="Times New Roman"/>
          <w:szCs w:val="24"/>
        </w:rPr>
        <w:t>The Defen</w:t>
      </w:r>
      <w:r w:rsidR="00451E56">
        <w:rPr>
          <w:rFonts w:eastAsia="Times New Roman" w:cs="Times New Roman"/>
          <w:szCs w:val="24"/>
        </w:rPr>
        <w:t>d</w:t>
      </w:r>
      <w:r w:rsidRPr="064C8778">
        <w:rPr>
          <w:rFonts w:eastAsia="Times New Roman" w:cs="Times New Roman"/>
          <w:szCs w:val="24"/>
        </w:rPr>
        <w:t xml:space="preserve">ant </w:t>
      </w:r>
      <w:r w:rsidR="1B022B85" w:rsidRPr="064C8778">
        <w:rPr>
          <w:rFonts w:eastAsia="Times New Roman" w:cs="Times New Roman"/>
          <w:szCs w:val="24"/>
        </w:rPr>
        <w:t xml:space="preserve">sent a Stage 2 Settlement Pack to </w:t>
      </w:r>
      <w:r w:rsidR="0B00E9BA" w:rsidRPr="064C8778">
        <w:rPr>
          <w:rFonts w:eastAsia="Times New Roman" w:cs="Times New Roman"/>
          <w:szCs w:val="24"/>
        </w:rPr>
        <w:t>Aviva</w:t>
      </w:r>
      <w:r w:rsidR="1B022B85" w:rsidRPr="064C8778">
        <w:rPr>
          <w:rFonts w:eastAsia="Times New Roman" w:cs="Times New Roman"/>
          <w:szCs w:val="24"/>
        </w:rPr>
        <w:t>, who offer</w:t>
      </w:r>
      <w:r w:rsidR="278F49DE" w:rsidRPr="064C8778">
        <w:rPr>
          <w:rFonts w:eastAsia="Times New Roman" w:cs="Times New Roman"/>
          <w:szCs w:val="24"/>
        </w:rPr>
        <w:t>ed</w:t>
      </w:r>
      <w:r w:rsidR="1B022B85" w:rsidRPr="064C8778">
        <w:rPr>
          <w:rFonts w:eastAsia="Times New Roman" w:cs="Times New Roman"/>
          <w:szCs w:val="24"/>
        </w:rPr>
        <w:t xml:space="preserve"> </w:t>
      </w:r>
      <w:r w:rsidR="19AA4EC9" w:rsidRPr="064C8778">
        <w:rPr>
          <w:rFonts w:eastAsia="Times New Roman" w:cs="Times New Roman"/>
          <w:szCs w:val="24"/>
        </w:rPr>
        <w:t>to</w:t>
      </w:r>
      <w:r w:rsidR="1B022B85" w:rsidRPr="064C8778">
        <w:rPr>
          <w:rFonts w:eastAsia="Times New Roman" w:cs="Times New Roman"/>
          <w:szCs w:val="24"/>
        </w:rPr>
        <w:t xml:space="preserve"> pa</w:t>
      </w:r>
      <w:r w:rsidR="46C9ABA9" w:rsidRPr="064C8778">
        <w:rPr>
          <w:rFonts w:eastAsia="Times New Roman" w:cs="Times New Roman"/>
          <w:szCs w:val="24"/>
        </w:rPr>
        <w:t>y</w:t>
      </w:r>
      <w:r w:rsidR="1B022B85" w:rsidRPr="064C8778">
        <w:rPr>
          <w:rFonts w:eastAsia="Times New Roman" w:cs="Times New Roman"/>
          <w:szCs w:val="24"/>
        </w:rPr>
        <w:t xml:space="preserve"> £1</w:t>
      </w:r>
      <w:r w:rsidR="00D50107">
        <w:rPr>
          <w:rFonts w:eastAsia="Times New Roman" w:cs="Times New Roman"/>
          <w:szCs w:val="24"/>
        </w:rPr>
        <w:t>,</w:t>
      </w:r>
      <w:r w:rsidR="4AD9BE0A" w:rsidRPr="064C8778">
        <w:rPr>
          <w:rFonts w:eastAsia="Times New Roman" w:cs="Times New Roman"/>
          <w:szCs w:val="24"/>
        </w:rPr>
        <w:t>250</w:t>
      </w:r>
      <w:r w:rsidR="1B022B85" w:rsidRPr="064C8778">
        <w:rPr>
          <w:rFonts w:eastAsia="Times New Roman" w:cs="Times New Roman"/>
          <w:szCs w:val="24"/>
        </w:rPr>
        <w:t xml:space="preserve"> in damages</w:t>
      </w:r>
      <w:r w:rsidR="650C68E6" w:rsidRPr="064C8778">
        <w:rPr>
          <w:rFonts w:eastAsia="Times New Roman" w:cs="Times New Roman"/>
          <w:szCs w:val="24"/>
        </w:rPr>
        <w:t>.  This offer was accepted</w:t>
      </w:r>
      <w:r w:rsidR="00B56EA8">
        <w:rPr>
          <w:rFonts w:eastAsia="Times New Roman" w:cs="Times New Roman"/>
          <w:szCs w:val="24"/>
        </w:rPr>
        <w:t xml:space="preserve"> and Aviva paid the damages of £1,250</w:t>
      </w:r>
      <w:r w:rsidR="650C68E6" w:rsidRPr="064C8778">
        <w:rPr>
          <w:rFonts w:eastAsia="Times New Roman" w:cs="Times New Roman"/>
          <w:szCs w:val="24"/>
        </w:rPr>
        <w:t xml:space="preserve">.  </w:t>
      </w:r>
      <w:r w:rsidR="3D6305DB" w:rsidRPr="064C8778">
        <w:rPr>
          <w:rFonts w:eastAsia="Times New Roman" w:cs="Times New Roman"/>
          <w:szCs w:val="24"/>
        </w:rPr>
        <w:t>Aviva</w:t>
      </w:r>
      <w:r w:rsidR="650C68E6" w:rsidRPr="064C8778">
        <w:rPr>
          <w:rFonts w:eastAsia="Times New Roman" w:cs="Times New Roman"/>
          <w:szCs w:val="24"/>
        </w:rPr>
        <w:t xml:space="preserve"> also paid the </w:t>
      </w:r>
      <w:r w:rsidR="1B022B85" w:rsidRPr="064C8778">
        <w:rPr>
          <w:rFonts w:eastAsia="Times New Roman" w:cs="Times New Roman"/>
          <w:szCs w:val="24"/>
        </w:rPr>
        <w:t>Stage 2 fixed costs (i.e. £300 plus VAT</w:t>
      </w:r>
      <w:r w:rsidR="00090B48">
        <w:rPr>
          <w:rFonts w:eastAsia="Times New Roman" w:cs="Times New Roman"/>
          <w:szCs w:val="24"/>
        </w:rPr>
        <w:t xml:space="preserve"> of £60</w:t>
      </w:r>
      <w:r w:rsidR="1B022B85" w:rsidRPr="064C8778">
        <w:rPr>
          <w:rFonts w:eastAsia="Times New Roman" w:cs="Times New Roman"/>
          <w:szCs w:val="24"/>
        </w:rPr>
        <w:t xml:space="preserve">) </w:t>
      </w:r>
      <w:r w:rsidR="2493C7A3" w:rsidRPr="064C8778">
        <w:rPr>
          <w:rFonts w:eastAsia="Times New Roman" w:cs="Times New Roman"/>
          <w:szCs w:val="24"/>
        </w:rPr>
        <w:t>on 21 March 2017 and a further £300 on 7 July 2017</w:t>
      </w:r>
      <w:r w:rsidR="1B022B85" w:rsidRPr="064C8778">
        <w:rPr>
          <w:rFonts w:eastAsia="Times New Roman" w:cs="Times New Roman"/>
          <w:szCs w:val="24"/>
        </w:rPr>
        <w:t xml:space="preserve">.  </w:t>
      </w:r>
      <w:r w:rsidR="00451E56">
        <w:rPr>
          <w:rFonts w:eastAsia="Times New Roman" w:cs="Times New Roman"/>
          <w:szCs w:val="24"/>
        </w:rPr>
        <w:t xml:space="preserve">This </w:t>
      </w:r>
      <w:r w:rsidR="00B56EA8">
        <w:rPr>
          <w:rFonts w:eastAsia="Times New Roman" w:cs="Times New Roman"/>
          <w:szCs w:val="24"/>
        </w:rPr>
        <w:t xml:space="preserve">last </w:t>
      </w:r>
      <w:r w:rsidR="00451E56">
        <w:rPr>
          <w:rFonts w:eastAsia="Times New Roman" w:cs="Times New Roman"/>
          <w:szCs w:val="24"/>
        </w:rPr>
        <w:t xml:space="preserve">payment appears to have been made in error.  £300 was equivalent to the amount </w:t>
      </w:r>
      <w:r w:rsidR="00D50107">
        <w:rPr>
          <w:rFonts w:eastAsia="Times New Roman" w:cs="Times New Roman"/>
          <w:szCs w:val="24"/>
        </w:rPr>
        <w:t xml:space="preserve">of </w:t>
      </w:r>
      <w:r w:rsidR="00451E56">
        <w:rPr>
          <w:rFonts w:eastAsia="Times New Roman" w:cs="Times New Roman"/>
          <w:szCs w:val="24"/>
        </w:rPr>
        <w:t>“Type A fixed costs” (i.e. £250 plus VAT</w:t>
      </w:r>
      <w:r w:rsidR="00090B48">
        <w:rPr>
          <w:rFonts w:eastAsia="Times New Roman" w:cs="Times New Roman"/>
          <w:szCs w:val="24"/>
        </w:rPr>
        <w:t xml:space="preserve"> of £50</w:t>
      </w:r>
      <w:r w:rsidR="00451E56">
        <w:rPr>
          <w:rFonts w:eastAsia="Times New Roman" w:cs="Times New Roman"/>
          <w:szCs w:val="24"/>
        </w:rPr>
        <w:t>) which would have been payable if the claim had proceeded to Stage 3, i.e. if the Claimant had issued a Part 8 claim form, but no claim form was issued.</w:t>
      </w:r>
    </w:p>
    <w:p w14:paraId="1DC97AF2" w14:textId="77777777" w:rsidR="00EA090C" w:rsidRPr="00EA090C" w:rsidRDefault="73A118DE" w:rsidP="00AC6944">
      <w:pPr>
        <w:pStyle w:val="ListParagraph"/>
        <w:numPr>
          <w:ilvl w:val="0"/>
          <w:numId w:val="15"/>
        </w:numPr>
        <w:spacing w:after="240" w:line="240" w:lineRule="auto"/>
        <w:contextualSpacing w:val="0"/>
        <w:jc w:val="both"/>
        <w:rPr>
          <w:rFonts w:eastAsia="Times New Roman" w:cs="Times New Roman"/>
          <w:szCs w:val="24"/>
        </w:rPr>
      </w:pPr>
      <w:r w:rsidRPr="064C8778">
        <w:rPr>
          <w:rFonts w:eastAsia="Times New Roman" w:cs="Times New Roman"/>
          <w:szCs w:val="24"/>
        </w:rPr>
        <w:t>T</w:t>
      </w:r>
      <w:r w:rsidR="1B022B85" w:rsidRPr="064C8778">
        <w:rPr>
          <w:rFonts w:eastAsia="Times New Roman" w:cs="Times New Roman"/>
          <w:szCs w:val="24"/>
        </w:rPr>
        <w:t xml:space="preserve">he total </w:t>
      </w:r>
      <w:r w:rsidR="1B022B85" w:rsidRPr="00527AF9">
        <w:rPr>
          <w:rFonts w:eastAsia="Times New Roman" w:cs="Times New Roman"/>
          <w:szCs w:val="24"/>
        </w:rPr>
        <w:t>amount paid by</w:t>
      </w:r>
      <w:r w:rsidR="45F1D283" w:rsidRPr="00527AF9">
        <w:rPr>
          <w:rFonts w:eastAsia="Times New Roman" w:cs="Times New Roman"/>
          <w:szCs w:val="24"/>
        </w:rPr>
        <w:t xml:space="preserve"> Aviva</w:t>
      </w:r>
      <w:r w:rsidR="1B022B85" w:rsidRPr="00527AF9">
        <w:rPr>
          <w:rFonts w:eastAsia="Times New Roman" w:cs="Times New Roman"/>
          <w:szCs w:val="24"/>
        </w:rPr>
        <w:t xml:space="preserve"> in respect of fixed costs and disbursements was</w:t>
      </w:r>
      <w:r w:rsidR="1B022B85" w:rsidRPr="00527AF9">
        <w:rPr>
          <w:rFonts w:eastAsia="Calibri" w:cs="Times New Roman"/>
          <w:szCs w:val="24"/>
        </w:rPr>
        <w:t xml:space="preserve"> </w:t>
      </w:r>
      <w:r w:rsidR="63315AAF" w:rsidRPr="00527AF9">
        <w:rPr>
          <w:rFonts w:eastAsia="Calibri" w:cs="Times New Roman"/>
          <w:szCs w:val="24"/>
        </w:rPr>
        <w:t xml:space="preserve">therefore £1,116 </w:t>
      </w:r>
      <w:r w:rsidR="1B022B85" w:rsidRPr="00527AF9">
        <w:rPr>
          <w:rFonts w:eastAsia="Calibri" w:cs="Times New Roman"/>
          <w:szCs w:val="24"/>
        </w:rPr>
        <w:t>including VAT.</w:t>
      </w:r>
    </w:p>
    <w:p w14:paraId="089E01D5" w14:textId="24A2C407" w:rsidR="1B022B85" w:rsidRPr="00527AF9" w:rsidRDefault="00EA090C" w:rsidP="00AC6944">
      <w:pPr>
        <w:pStyle w:val="ListParagraph"/>
        <w:spacing w:after="240" w:line="240" w:lineRule="auto"/>
        <w:contextualSpacing w:val="0"/>
        <w:jc w:val="both"/>
        <w:rPr>
          <w:rFonts w:eastAsia="Times New Roman" w:cs="Times New Roman"/>
          <w:szCs w:val="24"/>
        </w:rPr>
      </w:pPr>
      <w:r>
        <w:rPr>
          <w:rFonts w:eastAsia="Calibri" w:cs="Times New Roman"/>
          <w:b/>
          <w:bCs/>
          <w:i/>
          <w:iCs/>
          <w:szCs w:val="24"/>
        </w:rPr>
        <w:t>(2)(d) Costs and the Defendant’s Bill</w:t>
      </w:r>
      <w:r w:rsidR="1B022B85" w:rsidRPr="00527AF9">
        <w:rPr>
          <w:rFonts w:eastAsia="Calibri" w:cs="Times New Roman"/>
          <w:szCs w:val="24"/>
        </w:rPr>
        <w:t xml:space="preserve">  </w:t>
      </w:r>
    </w:p>
    <w:p w14:paraId="0429213F" w14:textId="203B5724" w:rsidR="22D0D4C5" w:rsidRDefault="22D0D4C5" w:rsidP="00AC6944">
      <w:pPr>
        <w:pStyle w:val="ListParagraph"/>
        <w:numPr>
          <w:ilvl w:val="0"/>
          <w:numId w:val="15"/>
        </w:numPr>
        <w:spacing w:after="240" w:line="240" w:lineRule="auto"/>
        <w:contextualSpacing w:val="0"/>
        <w:jc w:val="both"/>
        <w:rPr>
          <w:rFonts w:eastAsia="Times New Roman" w:cs="Times New Roman"/>
          <w:szCs w:val="24"/>
        </w:rPr>
      </w:pPr>
      <w:r w:rsidRPr="064C8778">
        <w:rPr>
          <w:rFonts w:eastAsia="Times New Roman" w:cs="Times New Roman"/>
          <w:szCs w:val="24"/>
        </w:rPr>
        <w:t>The Defendant paid £</w:t>
      </w:r>
      <w:r w:rsidR="78BEF41C" w:rsidRPr="064C8778">
        <w:rPr>
          <w:rFonts w:eastAsia="Times New Roman" w:cs="Times New Roman"/>
          <w:szCs w:val="24"/>
        </w:rPr>
        <w:t>794.50</w:t>
      </w:r>
      <w:r w:rsidRPr="064C8778">
        <w:rPr>
          <w:rFonts w:eastAsia="Times New Roman" w:cs="Times New Roman"/>
          <w:szCs w:val="24"/>
        </w:rPr>
        <w:t xml:space="preserve"> </w:t>
      </w:r>
      <w:r w:rsidR="00451E56">
        <w:rPr>
          <w:rFonts w:eastAsia="Times New Roman" w:cs="Times New Roman"/>
          <w:szCs w:val="24"/>
        </w:rPr>
        <w:t>to the Claimant</w:t>
      </w:r>
      <w:r w:rsidR="00B56EA8">
        <w:rPr>
          <w:rFonts w:eastAsia="Times New Roman" w:cs="Times New Roman"/>
          <w:szCs w:val="24"/>
        </w:rPr>
        <w:t>, which was</w:t>
      </w:r>
      <w:r w:rsidRPr="064C8778">
        <w:rPr>
          <w:rFonts w:eastAsia="Times New Roman" w:cs="Times New Roman"/>
          <w:szCs w:val="24"/>
        </w:rPr>
        <w:t xml:space="preserve"> the amount of the damages, less </w:t>
      </w:r>
      <w:r w:rsidR="2BAD9FFB" w:rsidRPr="064C8778">
        <w:rPr>
          <w:rFonts w:eastAsia="Times New Roman" w:cs="Times New Roman"/>
          <w:szCs w:val="24"/>
        </w:rPr>
        <w:t xml:space="preserve">£455.50, made up of </w:t>
      </w:r>
      <w:r w:rsidR="00090B48">
        <w:rPr>
          <w:rFonts w:eastAsia="Times New Roman" w:cs="Times New Roman"/>
          <w:szCs w:val="24"/>
        </w:rPr>
        <w:t xml:space="preserve">the success fee in the amount of </w:t>
      </w:r>
      <w:r w:rsidR="611AC339" w:rsidRPr="064C8778">
        <w:rPr>
          <w:rFonts w:eastAsia="Times New Roman" w:cs="Times New Roman"/>
          <w:szCs w:val="24"/>
        </w:rPr>
        <w:t xml:space="preserve">25% </w:t>
      </w:r>
      <w:r w:rsidR="00451E56">
        <w:rPr>
          <w:rFonts w:eastAsia="Times New Roman" w:cs="Times New Roman"/>
          <w:szCs w:val="24"/>
        </w:rPr>
        <w:t>o</w:t>
      </w:r>
      <w:r w:rsidR="611AC339" w:rsidRPr="064C8778">
        <w:rPr>
          <w:rFonts w:eastAsia="Times New Roman" w:cs="Times New Roman"/>
          <w:szCs w:val="24"/>
        </w:rPr>
        <w:t>f the d</w:t>
      </w:r>
      <w:r w:rsidR="04734289" w:rsidRPr="064C8778">
        <w:rPr>
          <w:rFonts w:eastAsia="Times New Roman" w:cs="Times New Roman"/>
          <w:szCs w:val="24"/>
        </w:rPr>
        <w:t>a</w:t>
      </w:r>
      <w:r w:rsidR="611AC339" w:rsidRPr="064C8778">
        <w:rPr>
          <w:rFonts w:eastAsia="Times New Roman" w:cs="Times New Roman"/>
          <w:szCs w:val="24"/>
        </w:rPr>
        <w:t>mages (£312.50) and the ATE insurance premium (£143)</w:t>
      </w:r>
      <w:r w:rsidR="00451E56">
        <w:rPr>
          <w:rFonts w:eastAsia="Times New Roman" w:cs="Times New Roman"/>
          <w:szCs w:val="24"/>
        </w:rPr>
        <w:t xml:space="preserve">.  However, the Defendant </w:t>
      </w:r>
      <w:r w:rsidRPr="064C8778">
        <w:rPr>
          <w:rFonts w:eastAsia="Times New Roman" w:cs="Times New Roman"/>
          <w:szCs w:val="24"/>
        </w:rPr>
        <w:t xml:space="preserve">did not give </w:t>
      </w:r>
      <w:r w:rsidR="00451E56">
        <w:rPr>
          <w:rFonts w:eastAsia="Times New Roman" w:cs="Times New Roman"/>
          <w:szCs w:val="24"/>
        </w:rPr>
        <w:t>the Claimant</w:t>
      </w:r>
      <w:r w:rsidRPr="064C8778">
        <w:rPr>
          <w:rFonts w:eastAsia="Times New Roman" w:cs="Times New Roman"/>
          <w:szCs w:val="24"/>
        </w:rPr>
        <w:t xml:space="preserve"> a bill of costs. </w:t>
      </w:r>
    </w:p>
    <w:p w14:paraId="226ED5C4" w14:textId="45D0F7EB" w:rsidR="22D0D4C5" w:rsidRDefault="22D0D4C5" w:rsidP="00AC6944">
      <w:pPr>
        <w:pStyle w:val="ListParagraph"/>
        <w:numPr>
          <w:ilvl w:val="0"/>
          <w:numId w:val="15"/>
        </w:numPr>
        <w:spacing w:after="240" w:line="240" w:lineRule="auto"/>
        <w:contextualSpacing w:val="0"/>
        <w:jc w:val="both"/>
        <w:rPr>
          <w:szCs w:val="24"/>
        </w:rPr>
      </w:pPr>
      <w:r w:rsidRPr="064C8778">
        <w:rPr>
          <w:rFonts w:eastAsia="Times New Roman" w:cs="Times New Roman"/>
          <w:szCs w:val="24"/>
        </w:rPr>
        <w:t xml:space="preserve">The Claimant instructed </w:t>
      </w:r>
      <w:r w:rsidR="00451E56">
        <w:rPr>
          <w:rFonts w:eastAsia="Times New Roman" w:cs="Times New Roman"/>
          <w:szCs w:val="24"/>
        </w:rPr>
        <w:t>c</w:t>
      </w:r>
      <w:r w:rsidRPr="064C8778">
        <w:rPr>
          <w:rFonts w:eastAsia="Times New Roman" w:cs="Times New Roman"/>
          <w:szCs w:val="24"/>
        </w:rPr>
        <w:t xml:space="preserve">heckmylegalfees.com Limited (who later merged with Clear Legal Limited) and </w:t>
      </w:r>
      <w:r w:rsidR="6367668F" w:rsidRPr="064C8778">
        <w:rPr>
          <w:rFonts w:eastAsia="Times New Roman" w:cs="Times New Roman"/>
          <w:szCs w:val="24"/>
        </w:rPr>
        <w:t>they soug</w:t>
      </w:r>
      <w:r w:rsidR="7A115E6C" w:rsidRPr="064C8778">
        <w:rPr>
          <w:rFonts w:eastAsia="Times New Roman" w:cs="Times New Roman"/>
          <w:szCs w:val="24"/>
        </w:rPr>
        <w:t>h</w:t>
      </w:r>
      <w:r w:rsidR="6367668F" w:rsidRPr="064C8778">
        <w:rPr>
          <w:rFonts w:eastAsia="Times New Roman" w:cs="Times New Roman"/>
          <w:szCs w:val="24"/>
        </w:rPr>
        <w:t>t a bill of costs, which the Defendant delivered on 15 January 2018.</w:t>
      </w:r>
      <w:r w:rsidRPr="064C8778">
        <w:rPr>
          <w:rFonts w:eastAsia="Times New Roman" w:cs="Times New Roman"/>
          <w:szCs w:val="24"/>
        </w:rPr>
        <w:t xml:space="preserve"> The first part of the bill set out the Defendant’s professional charges.  These consisted of 4 items:</w:t>
      </w:r>
    </w:p>
    <w:p w14:paraId="28EAEF68" w14:textId="7D19ECF9" w:rsidR="22D0D4C5" w:rsidRDefault="22D0D4C5" w:rsidP="00AC6944">
      <w:pPr>
        <w:pStyle w:val="ListParagraph"/>
        <w:numPr>
          <w:ilvl w:val="1"/>
          <w:numId w:val="15"/>
        </w:numPr>
        <w:spacing w:after="240" w:line="240" w:lineRule="auto"/>
        <w:contextualSpacing w:val="0"/>
        <w:jc w:val="both"/>
        <w:rPr>
          <w:szCs w:val="24"/>
        </w:rPr>
      </w:pPr>
      <w:r w:rsidRPr="064C8778">
        <w:rPr>
          <w:rFonts w:eastAsia="Times New Roman" w:cs="Times New Roman"/>
          <w:szCs w:val="24"/>
        </w:rPr>
        <w:t>Basic charges of £</w:t>
      </w:r>
      <w:r w:rsidR="16C4DB18" w:rsidRPr="064C8778">
        <w:rPr>
          <w:rFonts w:eastAsia="Times New Roman" w:cs="Times New Roman"/>
          <w:szCs w:val="24"/>
        </w:rPr>
        <w:t>1,717</w:t>
      </w:r>
      <w:r w:rsidRPr="064C8778">
        <w:rPr>
          <w:rFonts w:eastAsia="Times New Roman" w:cs="Times New Roman"/>
          <w:szCs w:val="24"/>
        </w:rPr>
        <w:t xml:space="preserve"> plus VAT</w:t>
      </w:r>
      <w:r w:rsidR="1C2998F5" w:rsidRPr="064C8778">
        <w:rPr>
          <w:rFonts w:eastAsia="Times New Roman" w:cs="Times New Roman"/>
          <w:szCs w:val="24"/>
        </w:rPr>
        <w:t xml:space="preserve"> o</w:t>
      </w:r>
      <w:r w:rsidR="00451E56">
        <w:rPr>
          <w:rFonts w:eastAsia="Times New Roman" w:cs="Times New Roman"/>
          <w:szCs w:val="24"/>
        </w:rPr>
        <w:t>f</w:t>
      </w:r>
      <w:r w:rsidR="1C2998F5" w:rsidRPr="064C8778">
        <w:rPr>
          <w:rFonts w:eastAsia="Times New Roman" w:cs="Times New Roman"/>
          <w:szCs w:val="24"/>
        </w:rPr>
        <w:t xml:space="preserve"> £343.40</w:t>
      </w:r>
      <w:r w:rsidRPr="064C8778">
        <w:rPr>
          <w:rFonts w:eastAsia="Times New Roman" w:cs="Times New Roman"/>
          <w:szCs w:val="24"/>
        </w:rPr>
        <w:t>.</w:t>
      </w:r>
    </w:p>
    <w:p w14:paraId="7AF0DBBE" w14:textId="24826E62" w:rsidR="22D0D4C5" w:rsidRDefault="22D0D4C5" w:rsidP="00AC6944">
      <w:pPr>
        <w:pStyle w:val="ListParagraph"/>
        <w:numPr>
          <w:ilvl w:val="1"/>
          <w:numId w:val="15"/>
        </w:numPr>
        <w:spacing w:after="240" w:line="240" w:lineRule="auto"/>
        <w:contextualSpacing w:val="0"/>
        <w:jc w:val="both"/>
        <w:rPr>
          <w:szCs w:val="24"/>
        </w:rPr>
      </w:pPr>
      <w:r w:rsidRPr="064C8778">
        <w:rPr>
          <w:rFonts w:eastAsia="Times New Roman" w:cs="Times New Roman"/>
          <w:szCs w:val="24"/>
        </w:rPr>
        <w:t xml:space="preserve">A success fee of 100% of the basic charges, capped at 25% of the </w:t>
      </w:r>
      <w:r w:rsidR="45F496FE" w:rsidRPr="064C8778">
        <w:rPr>
          <w:rFonts w:eastAsia="Times New Roman" w:cs="Times New Roman"/>
          <w:szCs w:val="24"/>
        </w:rPr>
        <w:t xml:space="preserve">relevant </w:t>
      </w:r>
      <w:r w:rsidRPr="064C8778">
        <w:rPr>
          <w:rFonts w:eastAsia="Times New Roman" w:cs="Times New Roman"/>
          <w:szCs w:val="24"/>
        </w:rPr>
        <w:t>recovered damages, i.e. £</w:t>
      </w:r>
      <w:r w:rsidR="16F4848F" w:rsidRPr="064C8778">
        <w:rPr>
          <w:rFonts w:eastAsia="Times New Roman" w:cs="Times New Roman"/>
          <w:szCs w:val="24"/>
        </w:rPr>
        <w:t>260.42</w:t>
      </w:r>
      <w:r w:rsidRPr="064C8778">
        <w:rPr>
          <w:rFonts w:eastAsia="Times New Roman" w:cs="Times New Roman"/>
          <w:szCs w:val="24"/>
        </w:rPr>
        <w:t xml:space="preserve"> plus VAT</w:t>
      </w:r>
      <w:r w:rsidR="0715C2E7" w:rsidRPr="064C8778">
        <w:rPr>
          <w:rFonts w:eastAsia="Times New Roman" w:cs="Times New Roman"/>
          <w:szCs w:val="24"/>
        </w:rPr>
        <w:t xml:space="preserve"> o</w:t>
      </w:r>
      <w:r w:rsidR="00451E56">
        <w:rPr>
          <w:rFonts w:eastAsia="Times New Roman" w:cs="Times New Roman"/>
          <w:szCs w:val="24"/>
        </w:rPr>
        <w:t>f</w:t>
      </w:r>
      <w:r w:rsidR="0715C2E7" w:rsidRPr="064C8778">
        <w:rPr>
          <w:rFonts w:eastAsia="Times New Roman" w:cs="Times New Roman"/>
          <w:szCs w:val="24"/>
        </w:rPr>
        <w:t xml:space="preserve"> £52.08</w:t>
      </w:r>
      <w:r w:rsidRPr="064C8778">
        <w:rPr>
          <w:rFonts w:eastAsia="Times New Roman" w:cs="Times New Roman"/>
          <w:szCs w:val="24"/>
        </w:rPr>
        <w:t xml:space="preserve">.  </w:t>
      </w:r>
    </w:p>
    <w:p w14:paraId="2E0E3214" w14:textId="62F30B9F" w:rsidR="22D0D4C5" w:rsidRDefault="22D0D4C5" w:rsidP="00AC6944">
      <w:pPr>
        <w:pStyle w:val="ListParagraph"/>
        <w:numPr>
          <w:ilvl w:val="1"/>
          <w:numId w:val="15"/>
        </w:numPr>
        <w:spacing w:after="240" w:line="240" w:lineRule="auto"/>
        <w:contextualSpacing w:val="0"/>
        <w:jc w:val="both"/>
        <w:rPr>
          <w:szCs w:val="24"/>
        </w:rPr>
      </w:pPr>
      <w:r w:rsidRPr="064C8778">
        <w:rPr>
          <w:rFonts w:eastAsia="Times New Roman" w:cs="Times New Roman"/>
          <w:szCs w:val="24"/>
        </w:rPr>
        <w:t xml:space="preserve">The </w:t>
      </w:r>
      <w:r w:rsidR="016D4D8B" w:rsidRPr="064C8778">
        <w:rPr>
          <w:rFonts w:eastAsia="Times New Roman" w:cs="Times New Roman"/>
          <w:szCs w:val="24"/>
        </w:rPr>
        <w:t>medical report</w:t>
      </w:r>
      <w:r w:rsidRPr="064C8778">
        <w:rPr>
          <w:rFonts w:eastAsia="Times New Roman" w:cs="Times New Roman"/>
          <w:szCs w:val="24"/>
        </w:rPr>
        <w:t xml:space="preserve"> fee of £</w:t>
      </w:r>
      <w:r w:rsidR="675507EB" w:rsidRPr="064C8778">
        <w:rPr>
          <w:rFonts w:eastAsia="Times New Roman" w:cs="Times New Roman"/>
          <w:szCs w:val="24"/>
        </w:rPr>
        <w:t>180</w:t>
      </w:r>
      <w:r w:rsidRPr="064C8778">
        <w:rPr>
          <w:rFonts w:eastAsia="Times New Roman" w:cs="Times New Roman"/>
          <w:szCs w:val="24"/>
        </w:rPr>
        <w:t xml:space="preserve"> plus VAT</w:t>
      </w:r>
      <w:r w:rsidR="27352E46" w:rsidRPr="064C8778">
        <w:rPr>
          <w:rFonts w:eastAsia="Times New Roman" w:cs="Times New Roman"/>
          <w:szCs w:val="24"/>
        </w:rPr>
        <w:t xml:space="preserve"> o</w:t>
      </w:r>
      <w:r w:rsidR="008B041F">
        <w:rPr>
          <w:rFonts w:eastAsia="Times New Roman" w:cs="Times New Roman"/>
          <w:szCs w:val="24"/>
        </w:rPr>
        <w:t>f</w:t>
      </w:r>
      <w:r w:rsidR="27352E46" w:rsidRPr="064C8778">
        <w:rPr>
          <w:rFonts w:eastAsia="Times New Roman" w:cs="Times New Roman"/>
          <w:szCs w:val="24"/>
        </w:rPr>
        <w:t xml:space="preserve"> £36</w:t>
      </w:r>
      <w:r w:rsidRPr="064C8778">
        <w:rPr>
          <w:rFonts w:eastAsia="Times New Roman" w:cs="Times New Roman"/>
          <w:szCs w:val="24"/>
        </w:rPr>
        <w:t>.</w:t>
      </w:r>
    </w:p>
    <w:p w14:paraId="72897926" w14:textId="30978542" w:rsidR="22D0D4C5" w:rsidRPr="0092273A" w:rsidRDefault="22D0D4C5" w:rsidP="00AC6944">
      <w:pPr>
        <w:pStyle w:val="ListParagraph"/>
        <w:numPr>
          <w:ilvl w:val="1"/>
          <w:numId w:val="15"/>
        </w:numPr>
        <w:spacing w:after="240" w:line="240" w:lineRule="auto"/>
        <w:contextualSpacing w:val="0"/>
        <w:jc w:val="both"/>
        <w:rPr>
          <w:szCs w:val="24"/>
        </w:rPr>
      </w:pPr>
      <w:r w:rsidRPr="064C8778">
        <w:rPr>
          <w:rFonts w:eastAsia="Times New Roman" w:cs="Times New Roman"/>
          <w:szCs w:val="24"/>
        </w:rPr>
        <w:t xml:space="preserve">The </w:t>
      </w:r>
      <w:r w:rsidR="3AACD03E" w:rsidRPr="064C8778">
        <w:rPr>
          <w:rFonts w:eastAsia="Times New Roman" w:cs="Times New Roman"/>
          <w:szCs w:val="24"/>
        </w:rPr>
        <w:t>ATE insurance premium of £143.</w:t>
      </w:r>
    </w:p>
    <w:p w14:paraId="168BF207" w14:textId="215637C8" w:rsidR="3AACD03E" w:rsidRDefault="3AACD03E" w:rsidP="00AC6944">
      <w:pPr>
        <w:pStyle w:val="ListParagraph"/>
        <w:numPr>
          <w:ilvl w:val="0"/>
          <w:numId w:val="15"/>
        </w:numPr>
        <w:spacing w:after="240" w:line="240" w:lineRule="auto"/>
        <w:contextualSpacing w:val="0"/>
        <w:jc w:val="both"/>
        <w:rPr>
          <w:szCs w:val="24"/>
        </w:rPr>
      </w:pPr>
      <w:r w:rsidRPr="064C8778">
        <w:rPr>
          <w:rFonts w:eastAsia="Times New Roman" w:cs="Times New Roman"/>
          <w:szCs w:val="24"/>
        </w:rPr>
        <w:t>The following totals were given in a row beginning “Total”:</w:t>
      </w:r>
    </w:p>
    <w:p w14:paraId="7C17A586" w14:textId="79B0CCD9" w:rsidR="3AACD03E" w:rsidRDefault="3AACD03E" w:rsidP="00AC6944">
      <w:pPr>
        <w:pStyle w:val="ListParagraph"/>
        <w:numPr>
          <w:ilvl w:val="1"/>
          <w:numId w:val="15"/>
        </w:numPr>
        <w:spacing w:after="240" w:line="240" w:lineRule="auto"/>
        <w:contextualSpacing w:val="0"/>
        <w:jc w:val="both"/>
        <w:rPr>
          <w:szCs w:val="24"/>
        </w:rPr>
      </w:pPr>
      <w:r w:rsidRPr="064C8778">
        <w:rPr>
          <w:rFonts w:eastAsia="Times New Roman" w:cs="Times New Roman"/>
          <w:szCs w:val="24"/>
        </w:rPr>
        <w:t>£1,977.4</w:t>
      </w:r>
      <w:r w:rsidR="7A90BE1E" w:rsidRPr="064C8778">
        <w:rPr>
          <w:rFonts w:eastAsia="Times New Roman" w:cs="Times New Roman"/>
          <w:szCs w:val="24"/>
        </w:rPr>
        <w:t>2</w:t>
      </w:r>
      <w:r w:rsidRPr="064C8778">
        <w:rPr>
          <w:rFonts w:eastAsia="Times New Roman" w:cs="Times New Roman"/>
          <w:szCs w:val="24"/>
        </w:rPr>
        <w:t xml:space="preserve"> in respect o</w:t>
      </w:r>
      <w:r w:rsidR="0FE84BAC" w:rsidRPr="064C8778">
        <w:rPr>
          <w:rFonts w:eastAsia="Times New Roman" w:cs="Times New Roman"/>
          <w:szCs w:val="24"/>
        </w:rPr>
        <w:t>f</w:t>
      </w:r>
      <w:r w:rsidRPr="064C8778">
        <w:rPr>
          <w:rFonts w:eastAsia="Times New Roman" w:cs="Times New Roman"/>
          <w:szCs w:val="24"/>
        </w:rPr>
        <w:t xml:space="preserve"> costs.</w:t>
      </w:r>
    </w:p>
    <w:p w14:paraId="62A7F496" w14:textId="73BFB7B0" w:rsidR="3AACD03E" w:rsidRDefault="3AACD03E" w:rsidP="00AC6944">
      <w:pPr>
        <w:pStyle w:val="ListParagraph"/>
        <w:numPr>
          <w:ilvl w:val="1"/>
          <w:numId w:val="15"/>
        </w:numPr>
        <w:spacing w:after="240" w:line="240" w:lineRule="auto"/>
        <w:contextualSpacing w:val="0"/>
        <w:jc w:val="both"/>
        <w:rPr>
          <w:szCs w:val="24"/>
        </w:rPr>
      </w:pPr>
      <w:r w:rsidRPr="064C8778">
        <w:rPr>
          <w:rFonts w:eastAsia="Times New Roman" w:cs="Times New Roman"/>
          <w:szCs w:val="24"/>
        </w:rPr>
        <w:t>£323 in respect o</w:t>
      </w:r>
      <w:r w:rsidR="327CF982" w:rsidRPr="064C8778">
        <w:rPr>
          <w:rFonts w:eastAsia="Times New Roman" w:cs="Times New Roman"/>
          <w:szCs w:val="24"/>
        </w:rPr>
        <w:t>f</w:t>
      </w:r>
      <w:r w:rsidRPr="064C8778">
        <w:rPr>
          <w:rFonts w:eastAsia="Times New Roman" w:cs="Times New Roman"/>
          <w:szCs w:val="24"/>
        </w:rPr>
        <w:t xml:space="preserve"> disbursements.</w:t>
      </w:r>
    </w:p>
    <w:p w14:paraId="5EDB684D" w14:textId="0E8BDD4B" w:rsidR="3AACD03E" w:rsidRPr="0092273A" w:rsidRDefault="3AACD03E" w:rsidP="00AC6944">
      <w:pPr>
        <w:pStyle w:val="ListParagraph"/>
        <w:numPr>
          <w:ilvl w:val="1"/>
          <w:numId w:val="15"/>
        </w:numPr>
        <w:spacing w:after="240" w:line="240" w:lineRule="auto"/>
        <w:contextualSpacing w:val="0"/>
        <w:jc w:val="both"/>
        <w:rPr>
          <w:szCs w:val="24"/>
        </w:rPr>
      </w:pPr>
      <w:r w:rsidRPr="064C8778">
        <w:rPr>
          <w:rFonts w:eastAsia="Times New Roman" w:cs="Times New Roman"/>
          <w:szCs w:val="24"/>
        </w:rPr>
        <w:t>£431.48 in respect of VAT.</w:t>
      </w:r>
    </w:p>
    <w:p w14:paraId="40434B98" w14:textId="151D55B9" w:rsidR="088686BA" w:rsidRPr="0092273A" w:rsidRDefault="088686BA" w:rsidP="00AC6944">
      <w:pPr>
        <w:pStyle w:val="ListParagraph"/>
        <w:numPr>
          <w:ilvl w:val="0"/>
          <w:numId w:val="15"/>
        </w:numPr>
        <w:spacing w:after="240" w:line="240" w:lineRule="auto"/>
        <w:contextualSpacing w:val="0"/>
        <w:jc w:val="both"/>
        <w:rPr>
          <w:szCs w:val="24"/>
        </w:rPr>
      </w:pPr>
      <w:r w:rsidRPr="064C8778">
        <w:rPr>
          <w:rFonts w:eastAsia="Times New Roman" w:cs="Times New Roman"/>
          <w:szCs w:val="24"/>
        </w:rPr>
        <w:t>The total of these three figures is £2,731.90, but that figure was n</w:t>
      </w:r>
      <w:r w:rsidR="7DA86878" w:rsidRPr="064C8778">
        <w:rPr>
          <w:rFonts w:eastAsia="Times New Roman" w:cs="Times New Roman"/>
          <w:szCs w:val="24"/>
        </w:rPr>
        <w:t>ot</w:t>
      </w:r>
      <w:r w:rsidRPr="064C8778">
        <w:rPr>
          <w:rFonts w:eastAsia="Times New Roman" w:cs="Times New Roman"/>
          <w:szCs w:val="24"/>
        </w:rPr>
        <w:t xml:space="preserve"> stated on the bill.  </w:t>
      </w:r>
    </w:p>
    <w:p w14:paraId="5091F12B" w14:textId="35365714" w:rsidR="79D45424" w:rsidRDefault="79D45424" w:rsidP="00AC6944">
      <w:pPr>
        <w:pStyle w:val="ListParagraph"/>
        <w:numPr>
          <w:ilvl w:val="0"/>
          <w:numId w:val="15"/>
        </w:numPr>
        <w:spacing w:after="240" w:line="240" w:lineRule="auto"/>
        <w:contextualSpacing w:val="0"/>
        <w:jc w:val="both"/>
        <w:rPr>
          <w:szCs w:val="24"/>
        </w:rPr>
      </w:pPr>
      <w:r w:rsidRPr="064C8778">
        <w:rPr>
          <w:rFonts w:eastAsia="Times New Roman" w:cs="Times New Roman"/>
          <w:szCs w:val="24"/>
        </w:rPr>
        <w:t>The next row on the bill stated:</w:t>
      </w:r>
    </w:p>
    <w:p w14:paraId="4F802678" w14:textId="1F790651" w:rsidR="064C8778" w:rsidRDefault="1B3E4B86" w:rsidP="00AC6944">
      <w:pPr>
        <w:spacing w:after="240" w:line="240" w:lineRule="auto"/>
        <w:ind w:left="1418"/>
        <w:jc w:val="both"/>
        <w:rPr>
          <w:rFonts w:eastAsia="Times New Roman" w:cs="Times New Roman"/>
          <w:szCs w:val="24"/>
        </w:rPr>
      </w:pPr>
      <w:r w:rsidRPr="064C8778">
        <w:rPr>
          <w:rFonts w:eastAsia="Times New Roman" w:cs="Times New Roman"/>
          <w:szCs w:val="24"/>
        </w:rPr>
        <w:t>“Less monies received on account from Aviva</w:t>
      </w:r>
      <w:r w:rsidR="064C8778">
        <w:tab/>
      </w:r>
      <w:r w:rsidRPr="064C8778">
        <w:rPr>
          <w:rFonts w:eastAsia="Times New Roman" w:cs="Times New Roman"/>
          <w:szCs w:val="24"/>
        </w:rPr>
        <w:t xml:space="preserve">£1,116.00” </w:t>
      </w:r>
    </w:p>
    <w:p w14:paraId="27EB83C0" w14:textId="5F7A30DB" w:rsidR="0D22282D" w:rsidRDefault="0D22282D" w:rsidP="00AC6944">
      <w:pPr>
        <w:pStyle w:val="ListParagraph"/>
        <w:numPr>
          <w:ilvl w:val="0"/>
          <w:numId w:val="15"/>
        </w:numPr>
        <w:spacing w:after="240" w:line="240" w:lineRule="auto"/>
        <w:jc w:val="both"/>
        <w:rPr>
          <w:szCs w:val="24"/>
        </w:rPr>
      </w:pPr>
      <w:r w:rsidRPr="064C8778">
        <w:rPr>
          <w:rFonts w:eastAsia="Times New Roman" w:cs="Times New Roman"/>
          <w:szCs w:val="24"/>
        </w:rPr>
        <w:t>The final row on the bill stated:</w:t>
      </w:r>
    </w:p>
    <w:p w14:paraId="3EF537CA" w14:textId="0A578AE4" w:rsidR="064C8778" w:rsidRDefault="5C7D4E55" w:rsidP="00AC6944">
      <w:pPr>
        <w:spacing w:after="0" w:line="240" w:lineRule="auto"/>
        <w:ind w:left="1418"/>
        <w:jc w:val="both"/>
        <w:rPr>
          <w:rFonts w:eastAsia="Times New Roman" w:cs="Times New Roman"/>
          <w:szCs w:val="24"/>
        </w:rPr>
      </w:pPr>
      <w:r w:rsidRPr="064C8778">
        <w:rPr>
          <w:rFonts w:eastAsia="Times New Roman" w:cs="Times New Roman"/>
          <w:szCs w:val="24"/>
        </w:rPr>
        <w:lastRenderedPageBreak/>
        <w:t>“Balance payable by client, limited to 25% of</w:t>
      </w:r>
      <w:r w:rsidR="064C8778">
        <w:tab/>
      </w:r>
      <w:r w:rsidR="29133D9B" w:rsidRPr="064C8778">
        <w:rPr>
          <w:rFonts w:eastAsia="Times New Roman" w:cs="Times New Roman"/>
          <w:szCs w:val="24"/>
        </w:rPr>
        <w:t>£455.50</w:t>
      </w:r>
    </w:p>
    <w:p w14:paraId="5A2C5674" w14:textId="2C99261A" w:rsidR="064C8778" w:rsidRDefault="0BEF4300" w:rsidP="00AC6944">
      <w:pPr>
        <w:spacing w:after="240" w:line="240" w:lineRule="auto"/>
        <w:ind w:left="698" w:firstLine="720"/>
        <w:jc w:val="both"/>
        <w:rPr>
          <w:rFonts w:eastAsia="Times New Roman" w:cs="Times New Roman"/>
          <w:szCs w:val="24"/>
        </w:rPr>
      </w:pPr>
      <w:r w:rsidRPr="064C8778">
        <w:rPr>
          <w:rFonts w:eastAsia="Times New Roman" w:cs="Times New Roman"/>
          <w:szCs w:val="24"/>
        </w:rPr>
        <w:t>damages plus ATE premium paid.</w:t>
      </w:r>
      <w:r w:rsidR="00A47FCD">
        <w:rPr>
          <w:rFonts w:eastAsia="Times New Roman" w:cs="Times New Roman"/>
          <w:szCs w:val="24"/>
        </w:rPr>
        <w:t>”</w:t>
      </w:r>
    </w:p>
    <w:p w14:paraId="7BF19593" w14:textId="56DA2DB6" w:rsidR="00B56EA8" w:rsidRDefault="00B56EA8" w:rsidP="00AC6944">
      <w:pPr>
        <w:pStyle w:val="ListParagraph"/>
        <w:numPr>
          <w:ilvl w:val="0"/>
          <w:numId w:val="15"/>
        </w:numPr>
        <w:spacing w:after="240" w:line="240" w:lineRule="auto"/>
        <w:contextualSpacing w:val="0"/>
        <w:jc w:val="both"/>
        <w:rPr>
          <w:rFonts w:eastAsia="Times New Roman" w:cs="Times New Roman"/>
          <w:szCs w:val="24"/>
        </w:rPr>
      </w:pPr>
      <w:r>
        <w:rPr>
          <w:rFonts w:eastAsia="Times New Roman" w:cs="Times New Roman"/>
          <w:szCs w:val="24"/>
        </w:rPr>
        <w:t>The total of these two figures is £1,571.50, but that figure was not stated on the bill.</w:t>
      </w:r>
    </w:p>
    <w:p w14:paraId="11B571A0" w14:textId="77777777" w:rsidR="00B56EA8" w:rsidRPr="00EA090C" w:rsidRDefault="00B56EA8" w:rsidP="00AC6944">
      <w:pPr>
        <w:pStyle w:val="ListParagraph"/>
        <w:spacing w:after="240" w:line="240" w:lineRule="auto"/>
        <w:contextualSpacing w:val="0"/>
        <w:jc w:val="both"/>
        <w:rPr>
          <w:rFonts w:eastAsia="Times New Roman" w:cs="Times New Roman"/>
          <w:b/>
          <w:bCs/>
          <w:i/>
          <w:iCs/>
          <w:szCs w:val="24"/>
        </w:rPr>
      </w:pPr>
      <w:r>
        <w:rPr>
          <w:rFonts w:eastAsia="Times New Roman" w:cs="Times New Roman"/>
          <w:b/>
          <w:bCs/>
          <w:i/>
          <w:iCs/>
          <w:szCs w:val="24"/>
        </w:rPr>
        <w:t>(2)(e) The Claim for an Assessment of the Defendant’s Bill</w:t>
      </w:r>
    </w:p>
    <w:p w14:paraId="4A03BBCC" w14:textId="6C9DC73E" w:rsidR="60B65DC2" w:rsidRDefault="60B65DC2" w:rsidP="00AC6944">
      <w:pPr>
        <w:pStyle w:val="ListParagraph"/>
        <w:numPr>
          <w:ilvl w:val="0"/>
          <w:numId w:val="15"/>
        </w:numPr>
        <w:spacing w:after="240" w:line="240" w:lineRule="auto"/>
        <w:jc w:val="both"/>
        <w:rPr>
          <w:rFonts w:eastAsia="Times New Roman" w:cs="Times New Roman"/>
          <w:szCs w:val="24"/>
        </w:rPr>
      </w:pPr>
      <w:r w:rsidRPr="064C8778">
        <w:rPr>
          <w:rFonts w:eastAsia="Times New Roman" w:cs="Times New Roman"/>
          <w:szCs w:val="24"/>
        </w:rPr>
        <w:t xml:space="preserve">On 15 February 2018 the Claimant issued a Part 8 </w:t>
      </w:r>
      <w:r w:rsidR="008B041F">
        <w:rPr>
          <w:rFonts w:eastAsia="Times New Roman" w:cs="Times New Roman"/>
          <w:szCs w:val="24"/>
        </w:rPr>
        <w:t>c</w:t>
      </w:r>
      <w:r w:rsidRPr="064C8778">
        <w:rPr>
          <w:rFonts w:eastAsia="Times New Roman" w:cs="Times New Roman"/>
          <w:szCs w:val="24"/>
        </w:rPr>
        <w:t xml:space="preserve">laim </w:t>
      </w:r>
      <w:r w:rsidR="008B041F">
        <w:rPr>
          <w:rFonts w:eastAsia="Times New Roman" w:cs="Times New Roman"/>
          <w:szCs w:val="24"/>
        </w:rPr>
        <w:t>f</w:t>
      </w:r>
      <w:r w:rsidRPr="064C8778">
        <w:rPr>
          <w:rFonts w:eastAsia="Times New Roman" w:cs="Times New Roman"/>
          <w:szCs w:val="24"/>
        </w:rPr>
        <w:t xml:space="preserve">orm in the Sheffield </w:t>
      </w:r>
      <w:r w:rsidR="00E57DAB">
        <w:rPr>
          <w:rFonts w:eastAsia="Times New Roman" w:cs="Times New Roman"/>
          <w:szCs w:val="24"/>
        </w:rPr>
        <w:t>District</w:t>
      </w:r>
      <w:r w:rsidRPr="064C8778">
        <w:rPr>
          <w:rFonts w:eastAsia="Times New Roman" w:cs="Times New Roman"/>
          <w:szCs w:val="24"/>
        </w:rPr>
        <w:t xml:space="preserve"> Registry of the High Court seeking an assessment of the Defendant’s bill, restricted to the profit costs</w:t>
      </w:r>
      <w:r w:rsidR="0F61E787" w:rsidRPr="064C8778">
        <w:rPr>
          <w:rFonts w:eastAsia="Times New Roman" w:cs="Times New Roman"/>
          <w:szCs w:val="24"/>
        </w:rPr>
        <w:t>, including the success fee.  No</w:t>
      </w:r>
      <w:r w:rsidRPr="064C8778">
        <w:rPr>
          <w:rFonts w:eastAsia="Times New Roman" w:cs="Times New Roman"/>
          <w:szCs w:val="24"/>
        </w:rPr>
        <w:t xml:space="preserve"> challenge was made to the amount of the disbursements.</w:t>
      </w:r>
      <w:r w:rsidR="13E6890A" w:rsidRPr="064C8778">
        <w:rPr>
          <w:rFonts w:eastAsia="Times New Roman" w:cs="Times New Roman"/>
          <w:szCs w:val="24"/>
        </w:rPr>
        <w:t xml:space="preserve">  The claim form stated as follows:</w:t>
      </w:r>
      <w:r w:rsidRPr="064C8778">
        <w:rPr>
          <w:rFonts w:eastAsia="Times New Roman" w:cs="Times New Roman"/>
          <w:szCs w:val="24"/>
        </w:rPr>
        <w:t xml:space="preserve"> </w:t>
      </w:r>
      <w:r w:rsidR="3E91A36D" w:rsidRPr="064C8778">
        <w:rPr>
          <w:rFonts w:eastAsia="Times New Roman" w:cs="Times New Roman"/>
          <w:szCs w:val="24"/>
        </w:rPr>
        <w:t xml:space="preserve"> </w:t>
      </w:r>
    </w:p>
    <w:p w14:paraId="62D230FF" w14:textId="48959AA6" w:rsidR="0092273A" w:rsidRPr="0092273A" w:rsidRDefault="0092273A" w:rsidP="00AC6944">
      <w:pPr>
        <w:spacing w:after="120" w:line="240" w:lineRule="auto"/>
        <w:ind w:left="3598" w:hanging="2180"/>
        <w:jc w:val="both"/>
        <w:rPr>
          <w:rFonts w:cs="Times New Roman"/>
          <w:szCs w:val="24"/>
        </w:rPr>
      </w:pPr>
      <w:r w:rsidRPr="0092273A">
        <w:rPr>
          <w:rFonts w:cs="Times New Roman"/>
          <w:szCs w:val="24"/>
        </w:rPr>
        <w:t>“The Clamant seeks an order that –</w:t>
      </w:r>
    </w:p>
    <w:p w14:paraId="285AD946" w14:textId="77777777" w:rsidR="0092273A" w:rsidRPr="0092273A" w:rsidRDefault="0092273A" w:rsidP="00AC6944">
      <w:pPr>
        <w:numPr>
          <w:ilvl w:val="0"/>
          <w:numId w:val="17"/>
        </w:numPr>
        <w:spacing w:after="120" w:line="240" w:lineRule="auto"/>
        <w:jc w:val="both"/>
        <w:rPr>
          <w:rFonts w:cs="Times New Roman"/>
          <w:szCs w:val="24"/>
        </w:rPr>
      </w:pPr>
      <w:r w:rsidRPr="0092273A">
        <w:rPr>
          <w:rFonts w:cs="Times New Roman"/>
          <w:szCs w:val="24"/>
        </w:rPr>
        <w:t>There be an Order in standard form pursuant to s.70(1) Solicitors Act 1974 for assessment of the final bill delivered to the Claimant as follows (a copy of which is attached to this claim form)</w:t>
      </w:r>
    </w:p>
    <w:p w14:paraId="10EE5149" w14:textId="77777777" w:rsidR="0092273A" w:rsidRPr="0092273A" w:rsidRDefault="0092273A" w:rsidP="00AC6944">
      <w:pPr>
        <w:numPr>
          <w:ilvl w:val="0"/>
          <w:numId w:val="18"/>
        </w:numPr>
        <w:spacing w:after="120" w:line="240" w:lineRule="auto"/>
        <w:jc w:val="both"/>
        <w:rPr>
          <w:rFonts w:cs="Times New Roman"/>
          <w:szCs w:val="24"/>
        </w:rPr>
      </w:pPr>
      <w:r w:rsidRPr="0092273A">
        <w:rPr>
          <w:rFonts w:cs="Times New Roman"/>
          <w:szCs w:val="24"/>
        </w:rPr>
        <w:t>Bill Number:  SB73269.1</w:t>
      </w:r>
    </w:p>
    <w:p w14:paraId="233E9D48" w14:textId="77777777" w:rsidR="0092273A" w:rsidRPr="0092273A" w:rsidRDefault="0092273A" w:rsidP="00AC6944">
      <w:pPr>
        <w:spacing w:after="120" w:line="240" w:lineRule="auto"/>
        <w:ind w:left="3598" w:hanging="1080"/>
        <w:jc w:val="both"/>
        <w:rPr>
          <w:rFonts w:cs="Times New Roman"/>
          <w:szCs w:val="24"/>
        </w:rPr>
      </w:pPr>
      <w:r w:rsidRPr="0092273A">
        <w:rPr>
          <w:rFonts w:cs="Times New Roman"/>
          <w:szCs w:val="24"/>
        </w:rPr>
        <w:t>and delivered on 15</w:t>
      </w:r>
      <w:r w:rsidRPr="0092273A">
        <w:rPr>
          <w:rFonts w:cs="Times New Roman"/>
          <w:szCs w:val="24"/>
          <w:vertAlign w:val="superscript"/>
        </w:rPr>
        <w:t>th</w:t>
      </w:r>
      <w:r w:rsidRPr="0092273A">
        <w:rPr>
          <w:rFonts w:cs="Times New Roman"/>
          <w:szCs w:val="24"/>
        </w:rPr>
        <w:t xml:space="preserve"> January 2018 in the total sum of £2731.90.</w:t>
      </w:r>
    </w:p>
    <w:p w14:paraId="7B6442F5" w14:textId="77777777" w:rsidR="0092273A" w:rsidRPr="0092273A" w:rsidRDefault="0092273A" w:rsidP="00AC6944">
      <w:pPr>
        <w:numPr>
          <w:ilvl w:val="0"/>
          <w:numId w:val="17"/>
        </w:numPr>
        <w:spacing w:after="240" w:line="240" w:lineRule="auto"/>
        <w:ind w:left="2517" w:hanging="357"/>
        <w:jc w:val="both"/>
        <w:rPr>
          <w:rFonts w:cs="Times New Roman"/>
          <w:szCs w:val="24"/>
        </w:rPr>
      </w:pPr>
      <w:r w:rsidRPr="0092273A">
        <w:rPr>
          <w:rFonts w:cs="Times New Roman"/>
          <w:szCs w:val="24"/>
        </w:rPr>
        <w:t>Such assessment be restricted by virtue of s.70(6) Solicitors Act 1974 to the profit costs element in the sum of £1,977.42.”</w:t>
      </w:r>
    </w:p>
    <w:p w14:paraId="4F883280" w14:textId="54C40B89" w:rsidR="3E91A36D" w:rsidRDefault="3E91A36D" w:rsidP="00AC6944">
      <w:pPr>
        <w:pStyle w:val="ListParagraph"/>
        <w:numPr>
          <w:ilvl w:val="0"/>
          <w:numId w:val="15"/>
        </w:numPr>
        <w:spacing w:after="240" w:line="240" w:lineRule="auto"/>
        <w:jc w:val="both"/>
        <w:rPr>
          <w:szCs w:val="24"/>
        </w:rPr>
      </w:pPr>
      <w:r w:rsidRPr="064C8778">
        <w:rPr>
          <w:rFonts w:eastAsia="Times New Roman" w:cs="Times New Roman"/>
          <w:szCs w:val="24"/>
        </w:rPr>
        <w:t>On 6 March 2018 the Defendant fil</w:t>
      </w:r>
      <w:r w:rsidR="4F5F3F96" w:rsidRPr="064C8778">
        <w:rPr>
          <w:rFonts w:eastAsia="Times New Roman" w:cs="Times New Roman"/>
          <w:szCs w:val="24"/>
        </w:rPr>
        <w:t>e</w:t>
      </w:r>
      <w:r w:rsidRPr="064C8778">
        <w:rPr>
          <w:rFonts w:eastAsia="Times New Roman" w:cs="Times New Roman"/>
          <w:szCs w:val="24"/>
        </w:rPr>
        <w:t>d an</w:t>
      </w:r>
      <w:r w:rsidR="0EB0AC4E" w:rsidRPr="064C8778">
        <w:rPr>
          <w:rFonts w:eastAsia="Times New Roman" w:cs="Times New Roman"/>
          <w:szCs w:val="24"/>
        </w:rPr>
        <w:t xml:space="preserve"> a</w:t>
      </w:r>
      <w:r w:rsidRPr="064C8778">
        <w:rPr>
          <w:rFonts w:eastAsia="Times New Roman" w:cs="Times New Roman"/>
          <w:szCs w:val="24"/>
        </w:rPr>
        <w:t xml:space="preserve">cknowledgment of </w:t>
      </w:r>
      <w:r w:rsidR="164B5FDC" w:rsidRPr="064C8778">
        <w:rPr>
          <w:rFonts w:eastAsia="Times New Roman" w:cs="Times New Roman"/>
          <w:szCs w:val="24"/>
        </w:rPr>
        <w:t>s</w:t>
      </w:r>
      <w:r w:rsidRPr="064C8778">
        <w:rPr>
          <w:rFonts w:eastAsia="Times New Roman" w:cs="Times New Roman"/>
          <w:szCs w:val="24"/>
        </w:rPr>
        <w:t>ervice, statin</w:t>
      </w:r>
      <w:r w:rsidR="3349DCAD" w:rsidRPr="064C8778">
        <w:rPr>
          <w:rFonts w:eastAsia="Times New Roman" w:cs="Times New Roman"/>
          <w:szCs w:val="24"/>
        </w:rPr>
        <w:t>g</w:t>
      </w:r>
      <w:r w:rsidRPr="064C8778">
        <w:rPr>
          <w:rFonts w:eastAsia="Times New Roman" w:cs="Times New Roman"/>
          <w:szCs w:val="24"/>
        </w:rPr>
        <w:t xml:space="preserve"> that</w:t>
      </w:r>
      <w:r w:rsidR="3A9412BA" w:rsidRPr="064C8778">
        <w:rPr>
          <w:rFonts w:eastAsia="Times New Roman" w:cs="Times New Roman"/>
          <w:szCs w:val="24"/>
        </w:rPr>
        <w:t xml:space="preserve"> </w:t>
      </w:r>
      <w:r w:rsidRPr="064C8778">
        <w:rPr>
          <w:rFonts w:eastAsia="Times New Roman" w:cs="Times New Roman"/>
          <w:szCs w:val="24"/>
        </w:rPr>
        <w:t>it did no</w:t>
      </w:r>
      <w:r w:rsidR="6B5909B5" w:rsidRPr="064C8778">
        <w:rPr>
          <w:rFonts w:eastAsia="Times New Roman" w:cs="Times New Roman"/>
          <w:szCs w:val="24"/>
        </w:rPr>
        <w:t>t</w:t>
      </w:r>
      <w:r w:rsidRPr="064C8778">
        <w:rPr>
          <w:rFonts w:eastAsia="Times New Roman" w:cs="Times New Roman"/>
          <w:szCs w:val="24"/>
        </w:rPr>
        <w:t xml:space="preserve"> intend to contest the claim</w:t>
      </w:r>
      <w:r w:rsidR="5541A3D8" w:rsidRPr="064C8778">
        <w:rPr>
          <w:rFonts w:eastAsia="Times New Roman" w:cs="Times New Roman"/>
          <w:szCs w:val="24"/>
        </w:rPr>
        <w:t xml:space="preserve"> and that:</w:t>
      </w:r>
    </w:p>
    <w:p w14:paraId="08796F9B" w14:textId="05C460BE" w:rsidR="5541A3D8" w:rsidRDefault="5541A3D8" w:rsidP="00AC6944">
      <w:pPr>
        <w:spacing w:after="240" w:line="240" w:lineRule="auto"/>
        <w:ind w:left="1440"/>
        <w:jc w:val="both"/>
        <w:rPr>
          <w:rFonts w:eastAsia="Times New Roman" w:cs="Times New Roman"/>
          <w:szCs w:val="24"/>
        </w:rPr>
      </w:pPr>
      <w:r w:rsidRPr="064C8778">
        <w:rPr>
          <w:rFonts w:eastAsia="Times New Roman" w:cs="Times New Roman"/>
          <w:szCs w:val="24"/>
        </w:rPr>
        <w:t>“We agree to an Assessment in accordance with Paragraphs 1 &amp; 2 only of the Claimant</w:t>
      </w:r>
      <w:r w:rsidR="00F35B6C">
        <w:rPr>
          <w:rFonts w:eastAsia="Times New Roman" w:cs="Times New Roman"/>
          <w:szCs w:val="24"/>
        </w:rPr>
        <w:t>s (</w:t>
      </w:r>
      <w:r w:rsidR="00F35B6C">
        <w:rPr>
          <w:rFonts w:eastAsia="Times New Roman" w:cs="Times New Roman"/>
          <w:i/>
          <w:iCs/>
          <w:szCs w:val="24"/>
        </w:rPr>
        <w:t>sic</w:t>
      </w:r>
      <w:r w:rsidR="00F35B6C">
        <w:rPr>
          <w:rFonts w:eastAsia="Times New Roman" w:cs="Times New Roman"/>
          <w:szCs w:val="24"/>
        </w:rPr>
        <w:t>)</w:t>
      </w:r>
      <w:r w:rsidRPr="064C8778">
        <w:rPr>
          <w:rFonts w:eastAsia="Times New Roman" w:cs="Times New Roman"/>
          <w:szCs w:val="24"/>
        </w:rPr>
        <w:t xml:space="preserve"> Particulars of Claim.”</w:t>
      </w:r>
    </w:p>
    <w:p w14:paraId="2C9BC7D6" w14:textId="4BA2557B" w:rsidR="60B65DC2" w:rsidRDefault="60B65DC2" w:rsidP="00AC6944">
      <w:pPr>
        <w:pStyle w:val="ListParagraph"/>
        <w:numPr>
          <w:ilvl w:val="0"/>
          <w:numId w:val="15"/>
        </w:numPr>
        <w:spacing w:after="240" w:line="240" w:lineRule="auto"/>
        <w:jc w:val="both"/>
        <w:rPr>
          <w:szCs w:val="24"/>
        </w:rPr>
      </w:pPr>
      <w:r w:rsidRPr="064C8778">
        <w:rPr>
          <w:rFonts w:eastAsia="Times New Roman" w:cs="Times New Roman"/>
          <w:szCs w:val="24"/>
        </w:rPr>
        <w:t xml:space="preserve">On </w:t>
      </w:r>
      <w:r w:rsidR="7668324C" w:rsidRPr="064C8778">
        <w:rPr>
          <w:rFonts w:eastAsia="Times New Roman" w:cs="Times New Roman"/>
          <w:szCs w:val="24"/>
        </w:rPr>
        <w:t>2</w:t>
      </w:r>
      <w:r w:rsidR="59DDCC4E" w:rsidRPr="064C8778">
        <w:rPr>
          <w:rFonts w:eastAsia="Times New Roman" w:cs="Times New Roman"/>
          <w:szCs w:val="24"/>
        </w:rPr>
        <w:t>8 Ma</w:t>
      </w:r>
      <w:r w:rsidR="5E95C335" w:rsidRPr="064C8778">
        <w:rPr>
          <w:rFonts w:eastAsia="Times New Roman" w:cs="Times New Roman"/>
          <w:szCs w:val="24"/>
        </w:rPr>
        <w:t>rch</w:t>
      </w:r>
      <w:r w:rsidRPr="064C8778">
        <w:rPr>
          <w:rFonts w:eastAsia="Times New Roman" w:cs="Times New Roman"/>
          <w:szCs w:val="24"/>
        </w:rPr>
        <w:t xml:space="preserve"> 2018 </w:t>
      </w:r>
      <w:r w:rsidR="00E57DAB">
        <w:rPr>
          <w:rFonts w:eastAsia="Times New Roman" w:cs="Times New Roman"/>
          <w:szCs w:val="24"/>
        </w:rPr>
        <w:t>District</w:t>
      </w:r>
      <w:r w:rsidRPr="064C8778">
        <w:rPr>
          <w:rFonts w:eastAsia="Times New Roman" w:cs="Times New Roman"/>
          <w:szCs w:val="24"/>
        </w:rPr>
        <w:t xml:space="preserve"> </w:t>
      </w:r>
      <w:r w:rsidR="00E57DAB">
        <w:rPr>
          <w:rFonts w:eastAsia="Times New Roman" w:cs="Times New Roman"/>
          <w:szCs w:val="24"/>
        </w:rPr>
        <w:t>Judge</w:t>
      </w:r>
      <w:r w:rsidRPr="064C8778">
        <w:rPr>
          <w:rFonts w:eastAsia="Times New Roman" w:cs="Times New Roman"/>
          <w:szCs w:val="24"/>
        </w:rPr>
        <w:t xml:space="preserve"> Bellamy made an order for an assessment and gave directions.  </w:t>
      </w:r>
      <w:r w:rsidR="00090B48">
        <w:rPr>
          <w:rFonts w:eastAsia="Times New Roman" w:cs="Times New Roman"/>
          <w:szCs w:val="24"/>
        </w:rPr>
        <w:t>Paragraph 1 of t</w:t>
      </w:r>
      <w:r w:rsidRPr="064C8778">
        <w:rPr>
          <w:rFonts w:eastAsia="Times New Roman" w:cs="Times New Roman"/>
          <w:szCs w:val="24"/>
        </w:rPr>
        <w:t>he order</w:t>
      </w:r>
      <w:r w:rsidR="13F0C16D" w:rsidRPr="064C8778">
        <w:rPr>
          <w:rFonts w:eastAsia="Times New Roman" w:cs="Times New Roman"/>
          <w:szCs w:val="24"/>
        </w:rPr>
        <w:t xml:space="preserve"> </w:t>
      </w:r>
      <w:r w:rsidRPr="064C8778">
        <w:rPr>
          <w:rFonts w:eastAsia="Times New Roman" w:cs="Times New Roman"/>
          <w:szCs w:val="24"/>
        </w:rPr>
        <w:t>was in the following terms:</w:t>
      </w:r>
    </w:p>
    <w:p w14:paraId="27F30C37" w14:textId="20B87303" w:rsidR="60B65DC2" w:rsidRDefault="60B65DC2" w:rsidP="00AC6944">
      <w:pPr>
        <w:spacing w:after="120" w:line="240" w:lineRule="auto"/>
        <w:ind w:left="1440"/>
        <w:jc w:val="both"/>
        <w:rPr>
          <w:rFonts w:eastAsia="Times New Roman" w:cs="Times New Roman"/>
          <w:szCs w:val="24"/>
        </w:rPr>
      </w:pPr>
      <w:r w:rsidRPr="064C8778">
        <w:rPr>
          <w:rFonts w:eastAsia="Times New Roman" w:cs="Times New Roman"/>
          <w:szCs w:val="24"/>
        </w:rPr>
        <w:t xml:space="preserve">“There be an assessment pursuant to s.70 Solicitors Act 1974 of the Defendant’s </w:t>
      </w:r>
      <w:r w:rsidR="032725FB" w:rsidRPr="064C8778">
        <w:rPr>
          <w:rFonts w:eastAsia="Times New Roman" w:cs="Times New Roman"/>
          <w:szCs w:val="24"/>
        </w:rPr>
        <w:t>invoice/invoices</w:t>
      </w:r>
      <w:r w:rsidRPr="064C8778">
        <w:rPr>
          <w:rFonts w:eastAsia="Times New Roman" w:cs="Times New Roman"/>
          <w:szCs w:val="24"/>
        </w:rPr>
        <w:t xml:space="preserve"> as follows – </w:t>
      </w:r>
    </w:p>
    <w:p w14:paraId="1C56A15A" w14:textId="203D2D0A" w:rsidR="301DAE08" w:rsidRDefault="301DAE08" w:rsidP="00AC6944">
      <w:pPr>
        <w:pStyle w:val="ListParagraph"/>
        <w:numPr>
          <w:ilvl w:val="7"/>
          <w:numId w:val="15"/>
        </w:numPr>
        <w:spacing w:after="120" w:line="240" w:lineRule="auto"/>
        <w:ind w:left="1800"/>
        <w:contextualSpacing w:val="0"/>
        <w:jc w:val="both"/>
        <w:rPr>
          <w:rFonts w:eastAsia="Times New Roman" w:cs="Times New Roman"/>
          <w:szCs w:val="24"/>
        </w:rPr>
      </w:pPr>
      <w:r w:rsidRPr="064C8778">
        <w:rPr>
          <w:rFonts w:eastAsia="Times New Roman" w:cs="Times New Roman"/>
          <w:szCs w:val="24"/>
        </w:rPr>
        <w:t>Invoice Number SB 73269.1 D</w:t>
      </w:r>
      <w:r w:rsidR="60B65DC2" w:rsidRPr="064C8778">
        <w:rPr>
          <w:rFonts w:eastAsia="Times New Roman" w:cs="Times New Roman"/>
          <w:szCs w:val="24"/>
        </w:rPr>
        <w:t xml:space="preserve">ated </w:t>
      </w:r>
      <w:r w:rsidR="6B966494" w:rsidRPr="064C8778">
        <w:rPr>
          <w:rFonts w:eastAsia="Times New Roman" w:cs="Times New Roman"/>
          <w:szCs w:val="24"/>
        </w:rPr>
        <w:t>15/01/2018</w:t>
      </w:r>
      <w:r w:rsidR="60B65DC2" w:rsidRPr="064C8778">
        <w:rPr>
          <w:rFonts w:eastAsia="Times New Roman" w:cs="Times New Roman"/>
          <w:szCs w:val="24"/>
        </w:rPr>
        <w:t xml:space="preserve"> </w:t>
      </w:r>
      <w:r w:rsidR="564F5778" w:rsidRPr="064C8778">
        <w:rPr>
          <w:rFonts w:eastAsia="Times New Roman" w:cs="Times New Roman"/>
          <w:szCs w:val="24"/>
        </w:rPr>
        <w:t xml:space="preserve">Amount of </w:t>
      </w:r>
      <w:r w:rsidR="60B65DC2" w:rsidRPr="064C8778">
        <w:rPr>
          <w:rFonts w:eastAsia="Times New Roman" w:cs="Times New Roman"/>
          <w:szCs w:val="24"/>
        </w:rPr>
        <w:t>£</w:t>
      </w:r>
      <w:r w:rsidR="5295A69E" w:rsidRPr="064C8778">
        <w:rPr>
          <w:rFonts w:eastAsia="Times New Roman" w:cs="Times New Roman"/>
          <w:szCs w:val="24"/>
        </w:rPr>
        <w:t>2731.90</w:t>
      </w:r>
    </w:p>
    <w:p w14:paraId="381D3B28" w14:textId="460A014E" w:rsidR="05EED422" w:rsidRDefault="05EED422" w:rsidP="00AC6944">
      <w:pPr>
        <w:spacing w:after="240" w:line="240" w:lineRule="auto"/>
        <w:ind w:left="1440"/>
        <w:jc w:val="both"/>
        <w:rPr>
          <w:rFonts w:eastAsia="Times New Roman" w:cs="Times New Roman"/>
          <w:szCs w:val="24"/>
        </w:rPr>
      </w:pPr>
      <w:r w:rsidRPr="064C8778">
        <w:rPr>
          <w:rFonts w:eastAsia="Times New Roman" w:cs="Times New Roman"/>
          <w:szCs w:val="24"/>
        </w:rPr>
        <w:t>[</w:t>
      </w:r>
      <w:r w:rsidR="60B65DC2" w:rsidRPr="064C8778">
        <w:rPr>
          <w:rFonts w:eastAsia="Times New Roman" w:cs="Times New Roman"/>
          <w:szCs w:val="24"/>
        </w:rPr>
        <w:t xml:space="preserve">such assessment to be limited pursuant to s.70(6) Solicitors Act 1974 to </w:t>
      </w:r>
      <w:r w:rsidR="53DC80E1" w:rsidRPr="064C8778">
        <w:rPr>
          <w:rFonts w:eastAsia="Times New Roman" w:cs="Times New Roman"/>
          <w:szCs w:val="24"/>
        </w:rPr>
        <w:t>[</w:t>
      </w:r>
      <w:r w:rsidR="60B65DC2" w:rsidRPr="064C8778">
        <w:rPr>
          <w:rFonts w:eastAsia="Times New Roman" w:cs="Times New Roman"/>
          <w:szCs w:val="24"/>
        </w:rPr>
        <w:t>th</w:t>
      </w:r>
      <w:r w:rsidR="5E994095" w:rsidRPr="064C8778">
        <w:rPr>
          <w:rFonts w:eastAsia="Times New Roman" w:cs="Times New Roman"/>
          <w:szCs w:val="24"/>
        </w:rPr>
        <w:t>os</w:t>
      </w:r>
      <w:r w:rsidR="60B65DC2" w:rsidRPr="064C8778">
        <w:rPr>
          <w:rFonts w:eastAsia="Times New Roman" w:cs="Times New Roman"/>
          <w:szCs w:val="24"/>
        </w:rPr>
        <w:t xml:space="preserve">e </w:t>
      </w:r>
      <w:r w:rsidR="1B106C10" w:rsidRPr="064C8778">
        <w:rPr>
          <w:rFonts w:eastAsia="Times New Roman" w:cs="Times New Roman"/>
          <w:szCs w:val="24"/>
        </w:rPr>
        <w:t>parts of the invoices that are actually in dispute, namely the success fee in the sum of £1977.42 inc VAT]]</w:t>
      </w:r>
      <w:r w:rsidR="60B65DC2" w:rsidRPr="064C8778">
        <w:rPr>
          <w:rFonts w:eastAsia="Times New Roman" w:cs="Times New Roman"/>
          <w:szCs w:val="24"/>
        </w:rPr>
        <w:t>”</w:t>
      </w:r>
    </w:p>
    <w:p w14:paraId="36F1DC71" w14:textId="4B60B4D1" w:rsidR="001D3F34" w:rsidRPr="00B07919" w:rsidRDefault="001D3F34" w:rsidP="00AC6944">
      <w:pPr>
        <w:pStyle w:val="ListParagraph"/>
        <w:numPr>
          <w:ilvl w:val="0"/>
          <w:numId w:val="15"/>
        </w:numPr>
        <w:spacing w:after="240" w:line="240" w:lineRule="auto"/>
        <w:contextualSpacing w:val="0"/>
        <w:jc w:val="both"/>
        <w:rPr>
          <w:szCs w:val="24"/>
        </w:rPr>
      </w:pPr>
      <w:r>
        <w:rPr>
          <w:szCs w:val="24"/>
        </w:rPr>
        <w:t xml:space="preserve">On 18 April 2018 the Defendant applied for an order varying </w:t>
      </w:r>
      <w:r w:rsidR="00CF2FB8">
        <w:rPr>
          <w:szCs w:val="24"/>
        </w:rPr>
        <w:t>aspects</w:t>
      </w:r>
      <w:r>
        <w:rPr>
          <w:szCs w:val="24"/>
        </w:rPr>
        <w:t xml:space="preserve"> </w:t>
      </w:r>
      <w:r w:rsidR="00CF2FB8">
        <w:rPr>
          <w:szCs w:val="24"/>
        </w:rPr>
        <w:t>of</w:t>
      </w:r>
      <w:r>
        <w:rPr>
          <w:szCs w:val="24"/>
        </w:rPr>
        <w:t xml:space="preserve"> the order </w:t>
      </w:r>
      <w:r w:rsidR="00CF2FB8">
        <w:rPr>
          <w:szCs w:val="24"/>
        </w:rPr>
        <w:t>of</w:t>
      </w:r>
      <w:r>
        <w:rPr>
          <w:szCs w:val="24"/>
        </w:rPr>
        <w:t xml:space="preserve"> 28 March 2018.  The Defendant did </w:t>
      </w:r>
      <w:r w:rsidR="00CF2FB8">
        <w:rPr>
          <w:szCs w:val="24"/>
        </w:rPr>
        <w:t>not</w:t>
      </w:r>
      <w:r>
        <w:rPr>
          <w:szCs w:val="24"/>
        </w:rPr>
        <w:t xml:space="preserve"> seek the variation of that part </w:t>
      </w:r>
      <w:r w:rsidR="00CF2FB8">
        <w:rPr>
          <w:szCs w:val="24"/>
        </w:rPr>
        <w:t>of</w:t>
      </w:r>
      <w:r>
        <w:rPr>
          <w:szCs w:val="24"/>
        </w:rPr>
        <w:t xml:space="preserve"> paragraph 1 of the order which stated, “Amount of £2731.90.”  Ms Houghton of the </w:t>
      </w:r>
      <w:r w:rsidR="00CF2FB8">
        <w:rPr>
          <w:szCs w:val="24"/>
        </w:rPr>
        <w:t>Defendant</w:t>
      </w:r>
      <w:r>
        <w:rPr>
          <w:szCs w:val="24"/>
        </w:rPr>
        <w:t xml:space="preserve"> made a witness statement in which she submitted that there should be an assessment not </w:t>
      </w:r>
      <w:r w:rsidR="00CF2FB8">
        <w:rPr>
          <w:szCs w:val="24"/>
        </w:rPr>
        <w:t>merely</w:t>
      </w:r>
      <w:r>
        <w:rPr>
          <w:szCs w:val="24"/>
        </w:rPr>
        <w:t xml:space="preserve"> of the success fee but </w:t>
      </w:r>
      <w:r w:rsidR="00CF2FB8">
        <w:rPr>
          <w:szCs w:val="24"/>
        </w:rPr>
        <w:t>also</w:t>
      </w:r>
      <w:r>
        <w:rPr>
          <w:szCs w:val="24"/>
        </w:rPr>
        <w:t xml:space="preserve"> of the </w:t>
      </w:r>
      <w:r w:rsidR="00CF2FB8">
        <w:rPr>
          <w:szCs w:val="24"/>
        </w:rPr>
        <w:t>Defendant’s</w:t>
      </w:r>
      <w:r>
        <w:rPr>
          <w:szCs w:val="24"/>
        </w:rPr>
        <w:t xml:space="preserve"> basic charges “</w:t>
      </w:r>
      <w:r w:rsidR="00B07919">
        <w:rPr>
          <w:szCs w:val="24"/>
        </w:rPr>
        <w:t xml:space="preserve">in the sum stated in the statute bill i.e. £1,717.00 plus VAT …”  </w:t>
      </w:r>
      <w:r w:rsidR="00B07919" w:rsidRPr="00B07919">
        <w:rPr>
          <w:szCs w:val="24"/>
        </w:rPr>
        <w:t xml:space="preserve">The order was amended on 8 May 2018, but the amendments are </w:t>
      </w:r>
      <w:r w:rsidR="00CF2FB8" w:rsidRPr="00B07919">
        <w:rPr>
          <w:szCs w:val="24"/>
        </w:rPr>
        <w:t>not</w:t>
      </w:r>
      <w:r w:rsidR="00B07919" w:rsidRPr="00B07919">
        <w:rPr>
          <w:szCs w:val="24"/>
        </w:rPr>
        <w:t xml:space="preserve"> material for present </w:t>
      </w:r>
      <w:r w:rsidR="00CF2FB8" w:rsidRPr="00B07919">
        <w:rPr>
          <w:szCs w:val="24"/>
        </w:rPr>
        <w:t>purposes</w:t>
      </w:r>
      <w:r w:rsidR="00B07919" w:rsidRPr="00B07919">
        <w:rPr>
          <w:szCs w:val="24"/>
        </w:rPr>
        <w:t xml:space="preserve">.  </w:t>
      </w:r>
      <w:r w:rsidRPr="00B07919">
        <w:rPr>
          <w:szCs w:val="24"/>
        </w:rPr>
        <w:t xml:space="preserve"> </w:t>
      </w:r>
    </w:p>
    <w:p w14:paraId="3F30AE45" w14:textId="77E01E4E" w:rsidR="008F6A07" w:rsidRPr="008F6A07" w:rsidRDefault="00437752" w:rsidP="00AC6944">
      <w:pPr>
        <w:pStyle w:val="ListParagraph"/>
        <w:numPr>
          <w:ilvl w:val="0"/>
          <w:numId w:val="15"/>
        </w:numPr>
        <w:spacing w:after="240" w:line="240" w:lineRule="auto"/>
        <w:contextualSpacing w:val="0"/>
        <w:jc w:val="both"/>
        <w:rPr>
          <w:szCs w:val="24"/>
        </w:rPr>
      </w:pPr>
      <w:r>
        <w:rPr>
          <w:rFonts w:eastAsia="Times New Roman" w:cs="Times New Roman"/>
          <w:szCs w:val="24"/>
        </w:rPr>
        <w:t xml:space="preserve">The Defendant provided a breakdown of its bill.  This stated that the matter was dealt with by Grade D fee earners at a rate of £161 per hour.  </w:t>
      </w:r>
      <w:r w:rsidR="008F6A07">
        <w:rPr>
          <w:rFonts w:eastAsia="Times New Roman" w:cs="Times New Roman"/>
          <w:szCs w:val="24"/>
        </w:rPr>
        <w:t xml:space="preserve">The total costs set out in the breakdown were higher than the total amount stated in the bill before application </w:t>
      </w:r>
      <w:r w:rsidR="00CF2FB8">
        <w:rPr>
          <w:rFonts w:eastAsia="Times New Roman" w:cs="Times New Roman"/>
          <w:szCs w:val="24"/>
        </w:rPr>
        <w:t>of</w:t>
      </w:r>
      <w:r w:rsidR="008F6A07">
        <w:rPr>
          <w:rFonts w:eastAsia="Times New Roman" w:cs="Times New Roman"/>
          <w:szCs w:val="24"/>
        </w:rPr>
        <w:t xml:space="preserve"> the </w:t>
      </w:r>
      <w:r w:rsidR="008F6A07">
        <w:rPr>
          <w:rFonts w:eastAsia="Times New Roman" w:cs="Times New Roman"/>
          <w:szCs w:val="24"/>
        </w:rPr>
        <w:lastRenderedPageBreak/>
        <w:t>25% cap.  The total of the costs set out</w:t>
      </w:r>
      <w:r w:rsidR="00CF2FB8">
        <w:rPr>
          <w:rFonts w:eastAsia="Times New Roman" w:cs="Times New Roman"/>
          <w:szCs w:val="24"/>
        </w:rPr>
        <w:t xml:space="preserve"> </w:t>
      </w:r>
      <w:r w:rsidR="008F6A07">
        <w:rPr>
          <w:rFonts w:eastAsia="Times New Roman" w:cs="Times New Roman"/>
          <w:szCs w:val="24"/>
        </w:rPr>
        <w:t>in the breakdown was £2,854</w:t>
      </w:r>
      <w:r w:rsidR="00F35B6C">
        <w:rPr>
          <w:rFonts w:eastAsia="Times New Roman" w:cs="Times New Roman"/>
          <w:szCs w:val="24"/>
        </w:rPr>
        <w:t>.</w:t>
      </w:r>
      <w:r w:rsidR="008F6A07">
        <w:rPr>
          <w:rFonts w:eastAsia="Times New Roman" w:cs="Times New Roman"/>
          <w:szCs w:val="24"/>
        </w:rPr>
        <w:t>66, i.e. £2,402.72 plus VAT of £451</w:t>
      </w:r>
      <w:r w:rsidR="00F35B6C">
        <w:rPr>
          <w:rFonts w:eastAsia="Times New Roman" w:cs="Times New Roman"/>
          <w:szCs w:val="24"/>
        </w:rPr>
        <w:t>.</w:t>
      </w:r>
      <w:r w:rsidR="008F6A07">
        <w:rPr>
          <w:rFonts w:eastAsia="Times New Roman" w:cs="Times New Roman"/>
          <w:szCs w:val="24"/>
        </w:rPr>
        <w:t>94</w:t>
      </w:r>
      <w:r w:rsidR="00F35B6C">
        <w:rPr>
          <w:rFonts w:eastAsia="Times New Roman" w:cs="Times New Roman"/>
          <w:szCs w:val="24"/>
        </w:rPr>
        <w:t>.</w:t>
      </w:r>
      <w:r w:rsidR="008F6A07">
        <w:rPr>
          <w:rFonts w:eastAsia="Times New Roman" w:cs="Times New Roman"/>
          <w:szCs w:val="24"/>
        </w:rPr>
        <w:t xml:space="preserve"> </w:t>
      </w:r>
    </w:p>
    <w:p w14:paraId="00586ADD" w14:textId="10522429" w:rsidR="00437752" w:rsidRPr="00E81429" w:rsidRDefault="008F6A07" w:rsidP="00AC6944">
      <w:pPr>
        <w:pStyle w:val="ListParagraph"/>
        <w:numPr>
          <w:ilvl w:val="0"/>
          <w:numId w:val="15"/>
        </w:numPr>
        <w:spacing w:after="240" w:line="240" w:lineRule="auto"/>
        <w:contextualSpacing w:val="0"/>
        <w:jc w:val="both"/>
        <w:rPr>
          <w:szCs w:val="24"/>
        </w:rPr>
      </w:pPr>
      <w:r>
        <w:rPr>
          <w:rFonts w:eastAsia="Times New Roman" w:cs="Times New Roman"/>
          <w:szCs w:val="24"/>
        </w:rPr>
        <w:t xml:space="preserve">Deducting from this total </w:t>
      </w:r>
      <w:r w:rsidR="00437752">
        <w:rPr>
          <w:rFonts w:eastAsia="Times New Roman" w:cs="Times New Roman"/>
          <w:szCs w:val="24"/>
        </w:rPr>
        <w:t xml:space="preserve">the medical report fee, the ATE insurance </w:t>
      </w:r>
      <w:r w:rsidR="00CF2FB8">
        <w:rPr>
          <w:rFonts w:eastAsia="Times New Roman" w:cs="Times New Roman"/>
          <w:szCs w:val="24"/>
        </w:rPr>
        <w:t>premium</w:t>
      </w:r>
      <w:r w:rsidR="00437752">
        <w:rPr>
          <w:rFonts w:eastAsia="Times New Roman" w:cs="Times New Roman"/>
          <w:szCs w:val="24"/>
        </w:rPr>
        <w:t xml:space="preserve"> and the success fee, the </w:t>
      </w:r>
      <w:r>
        <w:rPr>
          <w:rFonts w:eastAsia="Times New Roman" w:cs="Times New Roman"/>
          <w:szCs w:val="24"/>
        </w:rPr>
        <w:t>bas</w:t>
      </w:r>
      <w:r w:rsidR="00F35B6C">
        <w:rPr>
          <w:rFonts w:eastAsia="Times New Roman" w:cs="Times New Roman"/>
          <w:szCs w:val="24"/>
        </w:rPr>
        <w:t>e</w:t>
      </w:r>
      <w:r>
        <w:rPr>
          <w:rFonts w:eastAsia="Times New Roman" w:cs="Times New Roman"/>
          <w:szCs w:val="24"/>
        </w:rPr>
        <w:t xml:space="preserve"> costs claimed in the breakdown amounted to </w:t>
      </w:r>
      <w:r w:rsidR="00DB036D">
        <w:rPr>
          <w:rFonts w:eastAsia="Times New Roman" w:cs="Times New Roman"/>
          <w:szCs w:val="24"/>
        </w:rPr>
        <w:t>£1,819.30</w:t>
      </w:r>
      <w:r>
        <w:rPr>
          <w:rFonts w:eastAsia="Times New Roman" w:cs="Times New Roman"/>
          <w:szCs w:val="24"/>
        </w:rPr>
        <w:t xml:space="preserve"> plus VAT.  A</w:t>
      </w:r>
      <w:r w:rsidR="00DB036D" w:rsidRPr="00DB036D">
        <w:rPr>
          <w:rFonts w:eastAsia="Times New Roman" w:cs="Times New Roman"/>
          <w:szCs w:val="24"/>
        </w:rPr>
        <w:t>t the hourly rate of £161</w:t>
      </w:r>
      <w:r w:rsidR="00DB036D">
        <w:rPr>
          <w:rFonts w:eastAsia="Times New Roman" w:cs="Times New Roman"/>
          <w:szCs w:val="24"/>
        </w:rPr>
        <w:t xml:space="preserve">, </w:t>
      </w:r>
      <w:r>
        <w:rPr>
          <w:rFonts w:eastAsia="Times New Roman" w:cs="Times New Roman"/>
          <w:szCs w:val="24"/>
        </w:rPr>
        <w:t xml:space="preserve">this </w:t>
      </w:r>
      <w:r w:rsidR="00DB036D">
        <w:rPr>
          <w:rFonts w:eastAsia="Times New Roman" w:cs="Times New Roman"/>
          <w:szCs w:val="24"/>
        </w:rPr>
        <w:t xml:space="preserve">amounted to </w:t>
      </w:r>
      <w:r>
        <w:rPr>
          <w:rFonts w:eastAsia="Times New Roman" w:cs="Times New Roman"/>
          <w:szCs w:val="24"/>
        </w:rPr>
        <w:t>1</w:t>
      </w:r>
      <w:r w:rsidR="00DB036D">
        <w:rPr>
          <w:rFonts w:eastAsia="Times New Roman" w:cs="Times New Roman"/>
          <w:szCs w:val="24"/>
        </w:rPr>
        <w:t>1 hours</w:t>
      </w:r>
      <w:r>
        <w:rPr>
          <w:rFonts w:eastAsia="Times New Roman" w:cs="Times New Roman"/>
          <w:szCs w:val="24"/>
        </w:rPr>
        <w:t xml:space="preserve"> and 18 </w:t>
      </w:r>
      <w:r w:rsidR="00CF2FB8">
        <w:rPr>
          <w:rFonts w:eastAsia="Times New Roman" w:cs="Times New Roman"/>
          <w:szCs w:val="24"/>
        </w:rPr>
        <w:t>minutes</w:t>
      </w:r>
      <w:r w:rsidR="00DB036D">
        <w:rPr>
          <w:rFonts w:eastAsia="Times New Roman" w:cs="Times New Roman"/>
          <w:szCs w:val="24"/>
        </w:rPr>
        <w:t>’ work</w:t>
      </w:r>
      <w:r>
        <w:rPr>
          <w:rFonts w:eastAsia="Times New Roman" w:cs="Times New Roman"/>
          <w:szCs w:val="24"/>
        </w:rPr>
        <w:t>, whereas the equivalent figure in the bill, £1,717 plus VAT, amounted to 10 hours and 40 minutes’ work at £161 an hour.</w:t>
      </w:r>
    </w:p>
    <w:p w14:paraId="692CAACA" w14:textId="78BBDFD8" w:rsidR="00437752" w:rsidRPr="00EA090C" w:rsidRDefault="00437752" w:rsidP="00AC6944">
      <w:pPr>
        <w:pStyle w:val="ListParagraph"/>
        <w:spacing w:after="240" w:line="240" w:lineRule="auto"/>
        <w:contextualSpacing w:val="0"/>
        <w:jc w:val="both"/>
        <w:rPr>
          <w:b/>
          <w:bCs/>
          <w:i/>
          <w:iCs/>
          <w:szCs w:val="24"/>
        </w:rPr>
      </w:pPr>
      <w:r>
        <w:rPr>
          <w:b/>
          <w:bCs/>
          <w:i/>
          <w:iCs/>
          <w:szCs w:val="24"/>
        </w:rPr>
        <w:t>(2)(f) The “On Paper” Assessment of the Defendant’s Bill</w:t>
      </w:r>
    </w:p>
    <w:p w14:paraId="4B2C2913" w14:textId="11CD3F61" w:rsidR="00B07919" w:rsidRPr="00B07919" w:rsidRDefault="00E81429" w:rsidP="00AC6944">
      <w:pPr>
        <w:pStyle w:val="ListParagraph"/>
        <w:numPr>
          <w:ilvl w:val="0"/>
          <w:numId w:val="15"/>
        </w:numPr>
        <w:spacing w:after="240" w:line="240" w:lineRule="auto"/>
        <w:contextualSpacing w:val="0"/>
        <w:jc w:val="both"/>
        <w:rPr>
          <w:szCs w:val="24"/>
        </w:rPr>
      </w:pPr>
      <w:r>
        <w:rPr>
          <w:rFonts w:eastAsia="Times New Roman" w:cs="Times New Roman"/>
          <w:szCs w:val="24"/>
        </w:rPr>
        <w:t>The Claim</w:t>
      </w:r>
      <w:r w:rsidR="00EF5CFE">
        <w:rPr>
          <w:rFonts w:eastAsia="Times New Roman" w:cs="Times New Roman"/>
          <w:szCs w:val="24"/>
        </w:rPr>
        <w:t>a</w:t>
      </w:r>
      <w:r>
        <w:rPr>
          <w:rFonts w:eastAsia="Times New Roman" w:cs="Times New Roman"/>
          <w:szCs w:val="24"/>
        </w:rPr>
        <w:t xml:space="preserve">nt served </w:t>
      </w:r>
      <w:r w:rsidR="00D744FB">
        <w:rPr>
          <w:rFonts w:eastAsia="Times New Roman" w:cs="Times New Roman"/>
          <w:szCs w:val="24"/>
        </w:rPr>
        <w:t>p</w:t>
      </w:r>
      <w:r>
        <w:rPr>
          <w:rFonts w:eastAsia="Times New Roman" w:cs="Times New Roman"/>
          <w:szCs w:val="24"/>
        </w:rPr>
        <w:t>oints o</w:t>
      </w:r>
      <w:r w:rsidR="00EF5CFE">
        <w:rPr>
          <w:rFonts w:eastAsia="Times New Roman" w:cs="Times New Roman"/>
          <w:szCs w:val="24"/>
        </w:rPr>
        <w:t>f</w:t>
      </w:r>
      <w:r>
        <w:rPr>
          <w:rFonts w:eastAsia="Times New Roman" w:cs="Times New Roman"/>
          <w:szCs w:val="24"/>
        </w:rPr>
        <w:t xml:space="preserve"> </w:t>
      </w:r>
      <w:r w:rsidR="00D744FB">
        <w:rPr>
          <w:rFonts w:eastAsia="Times New Roman" w:cs="Times New Roman"/>
          <w:szCs w:val="24"/>
        </w:rPr>
        <w:t>d</w:t>
      </w:r>
      <w:r>
        <w:rPr>
          <w:rFonts w:eastAsia="Times New Roman" w:cs="Times New Roman"/>
          <w:szCs w:val="24"/>
        </w:rPr>
        <w:t xml:space="preserve">ispute and the Defendant served a </w:t>
      </w:r>
      <w:r w:rsidR="00F35B6C">
        <w:rPr>
          <w:rFonts w:eastAsia="Times New Roman" w:cs="Times New Roman"/>
          <w:szCs w:val="24"/>
        </w:rPr>
        <w:t>r</w:t>
      </w:r>
      <w:r>
        <w:rPr>
          <w:rFonts w:eastAsia="Times New Roman" w:cs="Times New Roman"/>
          <w:szCs w:val="24"/>
        </w:rPr>
        <w:t xml:space="preserve">eply.  </w:t>
      </w:r>
      <w:r w:rsidR="0CF85181" w:rsidRPr="00E81429">
        <w:rPr>
          <w:rFonts w:eastAsia="Times New Roman" w:cs="Times New Roman"/>
          <w:szCs w:val="24"/>
        </w:rPr>
        <w:t xml:space="preserve">On 3 July 2019 </w:t>
      </w:r>
      <w:r w:rsidR="00E57DAB">
        <w:rPr>
          <w:rFonts w:eastAsia="Times New Roman" w:cs="Times New Roman"/>
          <w:szCs w:val="24"/>
        </w:rPr>
        <w:t>District</w:t>
      </w:r>
      <w:r w:rsidR="0CF85181" w:rsidRPr="00E81429">
        <w:rPr>
          <w:rFonts w:eastAsia="Times New Roman" w:cs="Times New Roman"/>
          <w:szCs w:val="24"/>
        </w:rPr>
        <w:t xml:space="preserve"> </w:t>
      </w:r>
      <w:r w:rsidR="00E57DAB">
        <w:rPr>
          <w:rFonts w:eastAsia="Times New Roman" w:cs="Times New Roman"/>
          <w:szCs w:val="24"/>
        </w:rPr>
        <w:t>Judge</w:t>
      </w:r>
      <w:r w:rsidR="0CF85181" w:rsidRPr="00E81429">
        <w:rPr>
          <w:rFonts w:eastAsia="Times New Roman" w:cs="Times New Roman"/>
          <w:szCs w:val="24"/>
        </w:rPr>
        <w:t xml:space="preserve"> Bellamy assessed the </w:t>
      </w:r>
      <w:r w:rsidR="0028226B" w:rsidRPr="00E81429">
        <w:rPr>
          <w:rFonts w:eastAsia="Times New Roman" w:cs="Times New Roman"/>
          <w:szCs w:val="24"/>
        </w:rPr>
        <w:t xml:space="preserve">Defendant’s </w:t>
      </w:r>
      <w:r w:rsidR="0CF85181" w:rsidRPr="00E81429">
        <w:rPr>
          <w:rFonts w:eastAsia="Times New Roman" w:cs="Times New Roman"/>
          <w:szCs w:val="24"/>
        </w:rPr>
        <w:t xml:space="preserve">bill on paper.  </w:t>
      </w:r>
    </w:p>
    <w:p w14:paraId="79237DBF" w14:textId="2035C42E" w:rsidR="00B07919" w:rsidRPr="00B07919" w:rsidRDefault="00B07919" w:rsidP="00AC6944">
      <w:pPr>
        <w:pStyle w:val="ListParagraph"/>
        <w:spacing w:after="240" w:line="240" w:lineRule="auto"/>
        <w:contextualSpacing w:val="0"/>
        <w:jc w:val="both"/>
        <w:rPr>
          <w:i/>
          <w:iCs/>
          <w:szCs w:val="24"/>
        </w:rPr>
      </w:pPr>
      <w:bookmarkStart w:id="2" w:name="_Hlk72484286"/>
      <w:r>
        <w:rPr>
          <w:i/>
          <w:iCs/>
          <w:szCs w:val="24"/>
        </w:rPr>
        <w:t>(2)(f)(i) The “On Paper” Assessment: The General Point</w:t>
      </w:r>
    </w:p>
    <w:bookmarkEnd w:id="2"/>
    <w:p w14:paraId="0080865D" w14:textId="23973D83" w:rsidR="00D744FB" w:rsidRPr="00D744FB" w:rsidRDefault="14A6305F" w:rsidP="00AC6944">
      <w:pPr>
        <w:pStyle w:val="ListParagraph"/>
        <w:numPr>
          <w:ilvl w:val="0"/>
          <w:numId w:val="15"/>
        </w:numPr>
        <w:spacing w:after="240" w:line="240" w:lineRule="auto"/>
        <w:contextualSpacing w:val="0"/>
        <w:jc w:val="both"/>
        <w:rPr>
          <w:szCs w:val="24"/>
        </w:rPr>
      </w:pPr>
      <w:r w:rsidRPr="00E81429">
        <w:rPr>
          <w:rFonts w:eastAsia="Times New Roman" w:cs="Times New Roman"/>
          <w:szCs w:val="24"/>
        </w:rPr>
        <w:t xml:space="preserve">There were </w:t>
      </w:r>
      <w:r w:rsidR="00A47FCD" w:rsidRPr="00E81429">
        <w:rPr>
          <w:rFonts w:eastAsia="Times New Roman" w:cs="Times New Roman"/>
          <w:szCs w:val="24"/>
        </w:rPr>
        <w:t>five</w:t>
      </w:r>
      <w:r w:rsidRPr="00E81429">
        <w:rPr>
          <w:rFonts w:eastAsia="Times New Roman" w:cs="Times New Roman"/>
          <w:szCs w:val="24"/>
        </w:rPr>
        <w:t xml:space="preserve"> points of dispute.  </w:t>
      </w:r>
      <w:r w:rsidR="00B07919">
        <w:rPr>
          <w:rFonts w:eastAsia="Times New Roman" w:cs="Times New Roman"/>
          <w:szCs w:val="24"/>
        </w:rPr>
        <w:t>By t</w:t>
      </w:r>
      <w:r w:rsidRPr="00E81429">
        <w:rPr>
          <w:rFonts w:eastAsia="Times New Roman" w:cs="Times New Roman"/>
          <w:szCs w:val="24"/>
        </w:rPr>
        <w:t>he first</w:t>
      </w:r>
      <w:r w:rsidR="2A0BF706" w:rsidRPr="00E81429">
        <w:rPr>
          <w:rFonts w:eastAsia="Times New Roman" w:cs="Times New Roman"/>
          <w:szCs w:val="24"/>
        </w:rPr>
        <w:t xml:space="preserve">, </w:t>
      </w:r>
      <w:r w:rsidR="16786BC4" w:rsidRPr="00E81429">
        <w:rPr>
          <w:rFonts w:eastAsia="Times New Roman" w:cs="Times New Roman"/>
          <w:szCs w:val="24"/>
        </w:rPr>
        <w:t>l</w:t>
      </w:r>
      <w:r w:rsidR="2A0BF706" w:rsidRPr="00E81429">
        <w:rPr>
          <w:rFonts w:eastAsia="Times New Roman" w:cs="Times New Roman"/>
          <w:szCs w:val="24"/>
        </w:rPr>
        <w:t>abelled “General”,</w:t>
      </w:r>
      <w:r w:rsidRPr="00E81429">
        <w:rPr>
          <w:rFonts w:eastAsia="Times New Roman" w:cs="Times New Roman"/>
          <w:szCs w:val="24"/>
        </w:rPr>
        <w:t xml:space="preserve"> </w:t>
      </w:r>
      <w:r w:rsidR="00B07919">
        <w:rPr>
          <w:rFonts w:eastAsia="Times New Roman" w:cs="Times New Roman"/>
          <w:szCs w:val="24"/>
        </w:rPr>
        <w:t>t</w:t>
      </w:r>
      <w:r w:rsidRPr="00E81429">
        <w:rPr>
          <w:rFonts w:eastAsia="Times New Roman" w:cs="Times New Roman"/>
          <w:szCs w:val="24"/>
        </w:rPr>
        <w:t>he Claim</w:t>
      </w:r>
      <w:r w:rsidR="51E1446F" w:rsidRPr="00E81429">
        <w:rPr>
          <w:rFonts w:eastAsia="Times New Roman" w:cs="Times New Roman"/>
          <w:szCs w:val="24"/>
        </w:rPr>
        <w:t>a</w:t>
      </w:r>
      <w:r w:rsidRPr="00E81429">
        <w:rPr>
          <w:rFonts w:eastAsia="Times New Roman" w:cs="Times New Roman"/>
          <w:szCs w:val="24"/>
        </w:rPr>
        <w:t xml:space="preserve">nt </w:t>
      </w:r>
      <w:r w:rsidR="00D744FB">
        <w:rPr>
          <w:rFonts w:eastAsia="Times New Roman" w:cs="Times New Roman"/>
          <w:szCs w:val="24"/>
        </w:rPr>
        <w:t>contended as follows:</w:t>
      </w:r>
    </w:p>
    <w:p w14:paraId="7D3A7FDE" w14:textId="2B8BF72E" w:rsidR="00D744FB" w:rsidRDefault="00D744FB" w:rsidP="00AC6944">
      <w:pPr>
        <w:pStyle w:val="ListParagraph"/>
        <w:spacing w:after="120" w:line="240" w:lineRule="auto"/>
        <w:ind w:left="1440"/>
        <w:contextualSpacing w:val="0"/>
        <w:jc w:val="both"/>
        <w:rPr>
          <w:szCs w:val="24"/>
        </w:rPr>
      </w:pPr>
      <w:r>
        <w:rPr>
          <w:szCs w:val="24"/>
        </w:rPr>
        <w:t>“The bill comprises –</w:t>
      </w:r>
    </w:p>
    <w:p w14:paraId="215589EC" w14:textId="015BB13C" w:rsidR="00D744FB" w:rsidRDefault="00D744FB" w:rsidP="00AC6944">
      <w:pPr>
        <w:pStyle w:val="ListParagraph"/>
        <w:spacing w:after="120" w:line="240" w:lineRule="auto"/>
        <w:ind w:left="1440"/>
        <w:contextualSpacing w:val="0"/>
        <w:jc w:val="both"/>
        <w:rPr>
          <w:szCs w:val="24"/>
        </w:rPr>
      </w:pPr>
      <w:r>
        <w:rPr>
          <w:szCs w:val="24"/>
        </w:rPr>
        <w:t>…</w:t>
      </w:r>
    </w:p>
    <w:p w14:paraId="35AAF92E" w14:textId="3F68E8FF" w:rsidR="00D744FB" w:rsidRDefault="00D744FB" w:rsidP="00AC6944">
      <w:pPr>
        <w:pStyle w:val="ListParagraph"/>
        <w:spacing w:after="120" w:line="240" w:lineRule="auto"/>
        <w:ind w:left="1440"/>
        <w:contextualSpacing w:val="0"/>
        <w:jc w:val="both"/>
        <w:rPr>
          <w:szCs w:val="24"/>
        </w:rPr>
      </w:pPr>
      <w:r>
        <w:rPr>
          <w:szCs w:val="24"/>
        </w:rPr>
        <w:t>The bill therefore totals £2,731.90.</w:t>
      </w:r>
    </w:p>
    <w:p w14:paraId="36BF5DCC" w14:textId="51534160" w:rsidR="00D744FB" w:rsidRDefault="00D744FB" w:rsidP="00AC6944">
      <w:pPr>
        <w:pStyle w:val="ListParagraph"/>
        <w:spacing w:after="120" w:line="240" w:lineRule="auto"/>
        <w:ind w:left="1440"/>
        <w:contextualSpacing w:val="0"/>
        <w:jc w:val="both"/>
        <w:rPr>
          <w:szCs w:val="24"/>
        </w:rPr>
      </w:pPr>
      <w:r>
        <w:rPr>
          <w:szCs w:val="24"/>
        </w:rPr>
        <w:t>The sum of £1,116 received from the thir</w:t>
      </w:r>
      <w:r w:rsidR="00CF2FB8">
        <w:rPr>
          <w:szCs w:val="24"/>
        </w:rPr>
        <w:t>d</w:t>
      </w:r>
      <w:r>
        <w:rPr>
          <w:szCs w:val="24"/>
        </w:rPr>
        <w:t xml:space="preserve"> party is </w:t>
      </w:r>
      <w:r w:rsidR="00CF2FB8">
        <w:rPr>
          <w:szCs w:val="24"/>
        </w:rPr>
        <w:t>th</w:t>
      </w:r>
      <w:r>
        <w:rPr>
          <w:szCs w:val="24"/>
        </w:rPr>
        <w:t xml:space="preserve">en credited, leaving a balance payable by the client </w:t>
      </w:r>
      <w:r w:rsidR="00CF2FB8">
        <w:rPr>
          <w:szCs w:val="24"/>
        </w:rPr>
        <w:t>of</w:t>
      </w:r>
      <w:r>
        <w:rPr>
          <w:szCs w:val="24"/>
        </w:rPr>
        <w:t xml:space="preserve"> £1,615.90, which </w:t>
      </w:r>
      <w:r w:rsidR="00CF2FB8">
        <w:rPr>
          <w:szCs w:val="24"/>
        </w:rPr>
        <w:t>is</w:t>
      </w:r>
      <w:r>
        <w:rPr>
          <w:szCs w:val="24"/>
        </w:rPr>
        <w:t xml:space="preserve"> then limited to £455.50.</w:t>
      </w:r>
    </w:p>
    <w:p w14:paraId="011F39B8" w14:textId="29ED5731" w:rsidR="00D744FB" w:rsidRDefault="00D744FB" w:rsidP="00AC6944">
      <w:pPr>
        <w:pStyle w:val="ListParagraph"/>
        <w:spacing w:after="120" w:line="240" w:lineRule="auto"/>
        <w:ind w:left="1440"/>
        <w:contextualSpacing w:val="0"/>
        <w:jc w:val="both"/>
        <w:rPr>
          <w:szCs w:val="24"/>
        </w:rPr>
      </w:pPr>
      <w:r>
        <w:rPr>
          <w:szCs w:val="24"/>
        </w:rPr>
        <w:t>The reality therefore is that the Defendant has charged legal fees of £1,571.50 (£1,116 of which was paid by the third party, and £455.50 by the Claimant).</w:t>
      </w:r>
    </w:p>
    <w:p w14:paraId="1136C5D3" w14:textId="117FC0BA" w:rsidR="00D744FB" w:rsidRPr="00D744FB" w:rsidRDefault="00D744FB" w:rsidP="00AC6944">
      <w:pPr>
        <w:pStyle w:val="ListParagraph"/>
        <w:spacing w:after="240" w:line="240" w:lineRule="auto"/>
        <w:ind w:left="1440"/>
        <w:contextualSpacing w:val="0"/>
        <w:jc w:val="both"/>
        <w:rPr>
          <w:szCs w:val="24"/>
        </w:rPr>
      </w:pPr>
      <w:r>
        <w:rPr>
          <w:szCs w:val="24"/>
        </w:rPr>
        <w:t xml:space="preserve">As a </w:t>
      </w:r>
      <w:r w:rsidR="00CF2FB8">
        <w:rPr>
          <w:szCs w:val="24"/>
        </w:rPr>
        <w:t>consequence</w:t>
      </w:r>
      <w:r>
        <w:rPr>
          <w:szCs w:val="24"/>
        </w:rPr>
        <w:t xml:space="preserve"> the bill must as a starting point be reduced to a maximum of £1,571</w:t>
      </w:r>
      <w:r w:rsidR="00F35B6C">
        <w:rPr>
          <w:szCs w:val="24"/>
        </w:rPr>
        <w:t>.</w:t>
      </w:r>
      <w:r>
        <w:rPr>
          <w:szCs w:val="24"/>
        </w:rPr>
        <w:t xml:space="preserve">50, otherwise the </w:t>
      </w:r>
      <w:r w:rsidR="00CF2FB8">
        <w:rPr>
          <w:szCs w:val="24"/>
        </w:rPr>
        <w:t>Claimant</w:t>
      </w:r>
      <w:r>
        <w:rPr>
          <w:szCs w:val="24"/>
        </w:rPr>
        <w:t xml:space="preserve"> would owe a further £1,160.40 (as demonstrated in the attached draft Cash Account).”</w:t>
      </w:r>
    </w:p>
    <w:p w14:paraId="1A88CFB3" w14:textId="0C39E011" w:rsidR="00D744FB" w:rsidRPr="00D744FB" w:rsidRDefault="00D744FB" w:rsidP="00AC6944">
      <w:pPr>
        <w:pStyle w:val="ListParagraph"/>
        <w:numPr>
          <w:ilvl w:val="0"/>
          <w:numId w:val="15"/>
        </w:numPr>
        <w:spacing w:after="240" w:line="240" w:lineRule="auto"/>
        <w:contextualSpacing w:val="0"/>
        <w:jc w:val="both"/>
        <w:rPr>
          <w:szCs w:val="24"/>
        </w:rPr>
      </w:pPr>
      <w:r>
        <w:rPr>
          <w:rFonts w:eastAsia="Times New Roman" w:cs="Times New Roman"/>
          <w:szCs w:val="24"/>
        </w:rPr>
        <w:t xml:space="preserve">The </w:t>
      </w:r>
      <w:r w:rsidR="00CF2FB8">
        <w:rPr>
          <w:rFonts w:eastAsia="Times New Roman" w:cs="Times New Roman"/>
          <w:szCs w:val="24"/>
        </w:rPr>
        <w:t>Defendant</w:t>
      </w:r>
      <w:r>
        <w:rPr>
          <w:rFonts w:eastAsia="Times New Roman" w:cs="Times New Roman"/>
          <w:szCs w:val="24"/>
        </w:rPr>
        <w:t xml:space="preserve"> replied as follows:</w:t>
      </w:r>
    </w:p>
    <w:p w14:paraId="20521C5F" w14:textId="1C31D927" w:rsidR="00D744FB" w:rsidRDefault="00D744FB" w:rsidP="00AC6944">
      <w:pPr>
        <w:pStyle w:val="ListParagraph"/>
        <w:spacing w:after="120" w:line="240" w:lineRule="auto"/>
        <w:ind w:left="1440"/>
        <w:contextualSpacing w:val="0"/>
        <w:jc w:val="both"/>
        <w:rPr>
          <w:szCs w:val="24"/>
        </w:rPr>
      </w:pPr>
      <w:r>
        <w:rPr>
          <w:szCs w:val="24"/>
        </w:rPr>
        <w:t xml:space="preserve">“The bill is limited to £1,571.50 in that this is the amount </w:t>
      </w:r>
      <w:r w:rsidR="00CF2FB8">
        <w:rPr>
          <w:szCs w:val="24"/>
        </w:rPr>
        <w:t>of</w:t>
      </w:r>
      <w:r>
        <w:rPr>
          <w:szCs w:val="24"/>
        </w:rPr>
        <w:t xml:space="preserve"> the payment which it requires.</w:t>
      </w:r>
    </w:p>
    <w:p w14:paraId="0846FFC6" w14:textId="756249EB" w:rsidR="00D744FB" w:rsidRPr="00EF5CFE" w:rsidRDefault="00D744FB" w:rsidP="00AC6944">
      <w:pPr>
        <w:pStyle w:val="ListParagraph"/>
        <w:spacing w:after="240" w:line="240" w:lineRule="auto"/>
        <w:ind w:left="1440"/>
        <w:contextualSpacing w:val="0"/>
        <w:jc w:val="both"/>
        <w:rPr>
          <w:szCs w:val="24"/>
        </w:rPr>
      </w:pPr>
      <w:r>
        <w:rPr>
          <w:szCs w:val="24"/>
        </w:rPr>
        <w:t xml:space="preserve">The form of the bill is entirely a matter for the defendant and the defendant is perfectly entitled to set out in its bill the component elements which are payable by the claimant under the terms </w:t>
      </w:r>
      <w:r w:rsidR="00CF2FB8">
        <w:rPr>
          <w:szCs w:val="24"/>
        </w:rPr>
        <w:t>of</w:t>
      </w:r>
      <w:r>
        <w:rPr>
          <w:szCs w:val="24"/>
        </w:rPr>
        <w:t xml:space="preserve"> her retainer; and then to set out </w:t>
      </w:r>
      <w:r w:rsidR="00EF5CFE">
        <w:rPr>
          <w:szCs w:val="24"/>
        </w:rPr>
        <w:t xml:space="preserve">that the amount payable </w:t>
      </w:r>
      <w:r w:rsidR="00CF2FB8">
        <w:rPr>
          <w:szCs w:val="24"/>
        </w:rPr>
        <w:t>above</w:t>
      </w:r>
      <w:r w:rsidR="00EF5CFE">
        <w:rPr>
          <w:szCs w:val="24"/>
        </w:rPr>
        <w:t xml:space="preserve"> </w:t>
      </w:r>
      <w:r w:rsidR="00EF5CFE">
        <w:rPr>
          <w:i/>
          <w:iCs/>
          <w:szCs w:val="24"/>
        </w:rPr>
        <w:t>inter partes</w:t>
      </w:r>
      <w:r w:rsidR="00EF5CFE">
        <w:rPr>
          <w:szCs w:val="24"/>
        </w:rPr>
        <w:t xml:space="preserve"> recovery is limited to 25% of damages (in accordance with</w:t>
      </w:r>
      <w:r w:rsidR="00CF2FB8">
        <w:rPr>
          <w:szCs w:val="24"/>
        </w:rPr>
        <w:t xml:space="preserve"> the</w:t>
      </w:r>
      <w:r w:rsidR="00EF5CFE">
        <w:rPr>
          <w:szCs w:val="24"/>
        </w:rPr>
        <w:t xml:space="preserve"> indication</w:t>
      </w:r>
      <w:r w:rsidR="00CF2FB8">
        <w:rPr>
          <w:szCs w:val="24"/>
        </w:rPr>
        <w:t>s</w:t>
      </w:r>
      <w:r w:rsidR="00EF5CFE">
        <w:rPr>
          <w:szCs w:val="24"/>
        </w:rPr>
        <w:t xml:space="preserve"> given in the retainer documentation) plus the ATE premium.”</w:t>
      </w:r>
    </w:p>
    <w:p w14:paraId="71613423" w14:textId="583EF065" w:rsidR="0CF85181" w:rsidRPr="00C737CE" w:rsidRDefault="5EA1156A" w:rsidP="00AC6944">
      <w:pPr>
        <w:pStyle w:val="ListParagraph"/>
        <w:numPr>
          <w:ilvl w:val="0"/>
          <w:numId w:val="15"/>
        </w:numPr>
        <w:spacing w:after="240" w:line="240" w:lineRule="auto"/>
        <w:contextualSpacing w:val="0"/>
        <w:jc w:val="both"/>
        <w:rPr>
          <w:szCs w:val="24"/>
        </w:rPr>
      </w:pPr>
      <w:r w:rsidRPr="00E81429">
        <w:rPr>
          <w:rFonts w:eastAsia="Times New Roman" w:cs="Times New Roman"/>
          <w:szCs w:val="24"/>
        </w:rPr>
        <w:t xml:space="preserve">The </w:t>
      </w:r>
      <w:r w:rsidR="00E416E7">
        <w:rPr>
          <w:rFonts w:eastAsia="Times New Roman" w:cs="Times New Roman"/>
          <w:szCs w:val="24"/>
        </w:rPr>
        <w:t>d</w:t>
      </w:r>
      <w:r w:rsidR="00E57DAB">
        <w:rPr>
          <w:rFonts w:eastAsia="Times New Roman" w:cs="Times New Roman"/>
          <w:szCs w:val="24"/>
        </w:rPr>
        <w:t>istrict</w:t>
      </w:r>
      <w:r w:rsidRPr="00E81429">
        <w:rPr>
          <w:rFonts w:eastAsia="Times New Roman" w:cs="Times New Roman"/>
          <w:szCs w:val="24"/>
        </w:rPr>
        <w:t xml:space="preserve"> </w:t>
      </w:r>
      <w:r w:rsidR="00E416E7">
        <w:rPr>
          <w:rFonts w:eastAsia="Times New Roman" w:cs="Times New Roman"/>
          <w:szCs w:val="24"/>
        </w:rPr>
        <w:t>j</w:t>
      </w:r>
      <w:r w:rsidR="00E57DAB">
        <w:rPr>
          <w:rFonts w:eastAsia="Times New Roman" w:cs="Times New Roman"/>
          <w:szCs w:val="24"/>
        </w:rPr>
        <w:t>udge</w:t>
      </w:r>
      <w:r w:rsidRPr="00E81429">
        <w:rPr>
          <w:rFonts w:eastAsia="Times New Roman" w:cs="Times New Roman"/>
          <w:szCs w:val="24"/>
        </w:rPr>
        <w:t xml:space="preserve"> </w:t>
      </w:r>
      <w:r w:rsidR="00F35B6C">
        <w:rPr>
          <w:rFonts w:eastAsia="Times New Roman" w:cs="Times New Roman"/>
          <w:szCs w:val="24"/>
        </w:rPr>
        <w:t>held</w:t>
      </w:r>
      <w:r w:rsidR="00D744FB">
        <w:rPr>
          <w:rFonts w:eastAsia="Times New Roman" w:cs="Times New Roman"/>
          <w:szCs w:val="24"/>
        </w:rPr>
        <w:t xml:space="preserve"> that the amount </w:t>
      </w:r>
      <w:r w:rsidR="00CF2FB8">
        <w:rPr>
          <w:rFonts w:eastAsia="Times New Roman" w:cs="Times New Roman"/>
          <w:szCs w:val="24"/>
        </w:rPr>
        <w:t>of</w:t>
      </w:r>
      <w:r w:rsidR="00D744FB">
        <w:rPr>
          <w:rFonts w:eastAsia="Times New Roman" w:cs="Times New Roman"/>
          <w:szCs w:val="24"/>
        </w:rPr>
        <w:t xml:space="preserve"> the bill was £2,731.90</w:t>
      </w:r>
      <w:r w:rsidR="00C737CE">
        <w:rPr>
          <w:rFonts w:eastAsia="Times New Roman" w:cs="Times New Roman"/>
          <w:szCs w:val="24"/>
        </w:rPr>
        <w:t>, saying:</w:t>
      </w:r>
    </w:p>
    <w:p w14:paraId="5E1A1F24" w14:textId="71BC3ADA" w:rsidR="00C737CE" w:rsidRDefault="00C737CE" w:rsidP="00AC6944">
      <w:pPr>
        <w:pStyle w:val="ListParagraph"/>
        <w:spacing w:after="120" w:line="240" w:lineRule="auto"/>
        <w:ind w:left="1440"/>
        <w:contextualSpacing w:val="0"/>
        <w:jc w:val="both"/>
        <w:rPr>
          <w:rFonts w:eastAsia="Times New Roman" w:cs="Times New Roman"/>
          <w:szCs w:val="24"/>
        </w:rPr>
      </w:pPr>
      <w:r>
        <w:rPr>
          <w:rFonts w:eastAsia="Times New Roman" w:cs="Times New Roman"/>
          <w:szCs w:val="24"/>
        </w:rPr>
        <w:t>“I agree with C.</w:t>
      </w:r>
    </w:p>
    <w:p w14:paraId="5D2AC15E" w14:textId="1634C24B" w:rsidR="00C737CE" w:rsidRDefault="00C737CE" w:rsidP="00AC6944">
      <w:pPr>
        <w:pStyle w:val="ListParagraph"/>
        <w:spacing w:after="120" w:line="240" w:lineRule="auto"/>
        <w:ind w:left="1440"/>
        <w:contextualSpacing w:val="0"/>
        <w:jc w:val="both"/>
        <w:rPr>
          <w:rFonts w:eastAsia="Times New Roman" w:cs="Times New Roman"/>
          <w:szCs w:val="24"/>
        </w:rPr>
      </w:pPr>
      <w:r>
        <w:rPr>
          <w:rFonts w:eastAsia="Times New Roman" w:cs="Times New Roman"/>
          <w:szCs w:val="24"/>
        </w:rPr>
        <w:t>See notes in White Book p. 2370.</w:t>
      </w:r>
    </w:p>
    <w:p w14:paraId="010E83E7" w14:textId="6CB6A914" w:rsidR="00C737CE" w:rsidRPr="00E81429" w:rsidRDefault="00C737CE" w:rsidP="00AC6944">
      <w:pPr>
        <w:pStyle w:val="ListParagraph"/>
        <w:spacing w:after="240" w:line="240" w:lineRule="auto"/>
        <w:ind w:left="1440"/>
        <w:contextualSpacing w:val="0"/>
        <w:jc w:val="both"/>
        <w:rPr>
          <w:szCs w:val="24"/>
        </w:rPr>
      </w:pPr>
      <w:r>
        <w:rPr>
          <w:rFonts w:eastAsia="Times New Roman" w:cs="Times New Roman"/>
          <w:szCs w:val="24"/>
        </w:rPr>
        <w:t xml:space="preserve">It </w:t>
      </w:r>
      <w:r w:rsidR="00CF2FB8">
        <w:rPr>
          <w:rFonts w:eastAsia="Times New Roman" w:cs="Times New Roman"/>
          <w:szCs w:val="24"/>
        </w:rPr>
        <w:t>is</w:t>
      </w:r>
      <w:r>
        <w:rPr>
          <w:rFonts w:eastAsia="Times New Roman" w:cs="Times New Roman"/>
          <w:szCs w:val="24"/>
        </w:rPr>
        <w:t xml:space="preserve"> the full amount </w:t>
      </w:r>
      <w:r w:rsidR="00CF2FB8">
        <w:rPr>
          <w:rFonts w:eastAsia="Times New Roman" w:cs="Times New Roman"/>
          <w:szCs w:val="24"/>
        </w:rPr>
        <w:t>of</w:t>
      </w:r>
      <w:r>
        <w:rPr>
          <w:rFonts w:eastAsia="Times New Roman" w:cs="Times New Roman"/>
          <w:szCs w:val="24"/>
        </w:rPr>
        <w:t xml:space="preserve"> the bill which is </w:t>
      </w:r>
      <w:r w:rsidR="00CF2FB8">
        <w:rPr>
          <w:rFonts w:eastAsia="Times New Roman" w:cs="Times New Roman"/>
          <w:szCs w:val="24"/>
        </w:rPr>
        <w:t>taken</w:t>
      </w:r>
      <w:r>
        <w:rPr>
          <w:rFonts w:eastAsia="Times New Roman" w:cs="Times New Roman"/>
          <w:szCs w:val="24"/>
        </w:rPr>
        <w:t xml:space="preserve"> into account when determining the “1/6”.” </w:t>
      </w:r>
    </w:p>
    <w:p w14:paraId="2038D143" w14:textId="3C4E2E17" w:rsidR="00B07919" w:rsidRPr="00B07919" w:rsidRDefault="00B07919" w:rsidP="00AC6944">
      <w:pPr>
        <w:pStyle w:val="ListParagraph"/>
        <w:spacing w:after="240" w:line="240" w:lineRule="auto"/>
        <w:contextualSpacing w:val="0"/>
        <w:jc w:val="both"/>
        <w:rPr>
          <w:i/>
          <w:iCs/>
          <w:szCs w:val="24"/>
        </w:rPr>
      </w:pPr>
      <w:bookmarkStart w:id="3" w:name="_Hlk72484346"/>
      <w:r>
        <w:rPr>
          <w:i/>
          <w:iCs/>
          <w:szCs w:val="24"/>
        </w:rPr>
        <w:lastRenderedPageBreak/>
        <w:t>(2)(f)(ii) The “On Paper” Assessment: Point 1</w:t>
      </w:r>
    </w:p>
    <w:bookmarkEnd w:id="3"/>
    <w:p w14:paraId="2EDFADDC" w14:textId="0690BB7B" w:rsidR="00912E55" w:rsidRPr="00B07919" w:rsidRDefault="2D163B97" w:rsidP="00AC6944">
      <w:pPr>
        <w:pStyle w:val="ListParagraph"/>
        <w:numPr>
          <w:ilvl w:val="0"/>
          <w:numId w:val="15"/>
        </w:numPr>
        <w:spacing w:after="240" w:line="240" w:lineRule="auto"/>
        <w:contextualSpacing w:val="0"/>
        <w:jc w:val="both"/>
        <w:rPr>
          <w:szCs w:val="24"/>
        </w:rPr>
      </w:pPr>
      <w:r w:rsidRPr="00912E55">
        <w:rPr>
          <w:rFonts w:eastAsia="Times New Roman" w:cs="Times New Roman"/>
          <w:szCs w:val="24"/>
        </w:rPr>
        <w:t>The next point of dispute, labelled “Point 1”, concerned the effect of a let</w:t>
      </w:r>
      <w:r w:rsidR="176AD496" w:rsidRPr="00912E55">
        <w:rPr>
          <w:rFonts w:eastAsia="Times New Roman" w:cs="Times New Roman"/>
          <w:szCs w:val="24"/>
        </w:rPr>
        <w:t>te</w:t>
      </w:r>
      <w:r w:rsidRPr="00912E55">
        <w:rPr>
          <w:rFonts w:eastAsia="Times New Roman" w:cs="Times New Roman"/>
          <w:szCs w:val="24"/>
        </w:rPr>
        <w:t>r written by</w:t>
      </w:r>
      <w:r w:rsidR="2E71193F" w:rsidRPr="00912E55">
        <w:rPr>
          <w:rFonts w:eastAsia="Times New Roman" w:cs="Times New Roman"/>
          <w:szCs w:val="24"/>
        </w:rPr>
        <w:t xml:space="preserve"> </w:t>
      </w:r>
      <w:r w:rsidRPr="00912E55">
        <w:rPr>
          <w:rFonts w:eastAsia="Times New Roman" w:cs="Times New Roman"/>
          <w:szCs w:val="24"/>
        </w:rPr>
        <w:t>th</w:t>
      </w:r>
      <w:r w:rsidR="3080344A" w:rsidRPr="00912E55">
        <w:rPr>
          <w:rFonts w:eastAsia="Times New Roman" w:cs="Times New Roman"/>
          <w:szCs w:val="24"/>
        </w:rPr>
        <w:t>e</w:t>
      </w:r>
      <w:r w:rsidRPr="00912E55">
        <w:rPr>
          <w:rFonts w:eastAsia="Times New Roman" w:cs="Times New Roman"/>
          <w:szCs w:val="24"/>
        </w:rPr>
        <w:t xml:space="preserve"> Defe</w:t>
      </w:r>
      <w:r w:rsidR="320DA243" w:rsidRPr="00912E55">
        <w:rPr>
          <w:rFonts w:eastAsia="Times New Roman" w:cs="Times New Roman"/>
          <w:szCs w:val="24"/>
        </w:rPr>
        <w:t>nd</w:t>
      </w:r>
      <w:r w:rsidRPr="00912E55">
        <w:rPr>
          <w:rFonts w:eastAsia="Times New Roman" w:cs="Times New Roman"/>
          <w:szCs w:val="24"/>
        </w:rPr>
        <w:t>ant to the Claim</w:t>
      </w:r>
      <w:r w:rsidR="134AE82E" w:rsidRPr="00912E55">
        <w:rPr>
          <w:rFonts w:eastAsia="Times New Roman" w:cs="Times New Roman"/>
          <w:szCs w:val="24"/>
        </w:rPr>
        <w:t>a</w:t>
      </w:r>
      <w:r w:rsidRPr="00912E55">
        <w:rPr>
          <w:rFonts w:eastAsia="Times New Roman" w:cs="Times New Roman"/>
          <w:szCs w:val="24"/>
        </w:rPr>
        <w:t xml:space="preserve">nt on 24 </w:t>
      </w:r>
      <w:r w:rsidR="468C21E2" w:rsidRPr="00912E55">
        <w:rPr>
          <w:rFonts w:eastAsia="Times New Roman" w:cs="Times New Roman"/>
          <w:szCs w:val="24"/>
        </w:rPr>
        <w:t>M</w:t>
      </w:r>
      <w:r w:rsidRPr="00912E55">
        <w:rPr>
          <w:rFonts w:eastAsia="Times New Roman" w:cs="Times New Roman"/>
          <w:szCs w:val="24"/>
        </w:rPr>
        <w:t>arch 2017.</w:t>
      </w:r>
      <w:r w:rsidR="1D3C05D1" w:rsidRPr="00912E55">
        <w:rPr>
          <w:rFonts w:eastAsia="Times New Roman" w:cs="Times New Roman"/>
          <w:szCs w:val="24"/>
        </w:rPr>
        <w:t xml:space="preserve">  The </w:t>
      </w:r>
      <w:r w:rsidR="00E416E7">
        <w:rPr>
          <w:rFonts w:eastAsia="Times New Roman" w:cs="Times New Roman"/>
          <w:szCs w:val="24"/>
        </w:rPr>
        <w:t>d</w:t>
      </w:r>
      <w:r w:rsidR="00E57DAB">
        <w:rPr>
          <w:rFonts w:eastAsia="Times New Roman" w:cs="Times New Roman"/>
          <w:szCs w:val="24"/>
        </w:rPr>
        <w:t>istrict</w:t>
      </w:r>
      <w:r w:rsidR="1D3C05D1" w:rsidRPr="00912E55">
        <w:rPr>
          <w:rFonts w:eastAsia="Times New Roman" w:cs="Times New Roman"/>
          <w:szCs w:val="24"/>
        </w:rPr>
        <w:t xml:space="preserve"> </w:t>
      </w:r>
      <w:r w:rsidR="00E416E7">
        <w:rPr>
          <w:rFonts w:eastAsia="Times New Roman" w:cs="Times New Roman"/>
          <w:szCs w:val="24"/>
        </w:rPr>
        <w:t>j</w:t>
      </w:r>
      <w:r w:rsidR="00E57DAB">
        <w:rPr>
          <w:rFonts w:eastAsia="Times New Roman" w:cs="Times New Roman"/>
          <w:szCs w:val="24"/>
        </w:rPr>
        <w:t>udge</w:t>
      </w:r>
      <w:r w:rsidR="1D3C05D1" w:rsidRPr="00912E55">
        <w:rPr>
          <w:rFonts w:eastAsia="Times New Roman" w:cs="Times New Roman"/>
          <w:szCs w:val="24"/>
        </w:rPr>
        <w:t xml:space="preserve"> agreed with the Defendant that t</w:t>
      </w:r>
      <w:r w:rsidR="006E1744">
        <w:rPr>
          <w:rFonts w:eastAsia="Times New Roman" w:cs="Times New Roman"/>
          <w:szCs w:val="24"/>
        </w:rPr>
        <w:t>h</w:t>
      </w:r>
      <w:r w:rsidR="00A47FCD">
        <w:rPr>
          <w:rFonts w:eastAsia="Times New Roman" w:cs="Times New Roman"/>
          <w:szCs w:val="24"/>
        </w:rPr>
        <w:t>is</w:t>
      </w:r>
      <w:r w:rsidR="1D3C05D1" w:rsidRPr="00912E55">
        <w:rPr>
          <w:rFonts w:eastAsia="Times New Roman" w:cs="Times New Roman"/>
          <w:szCs w:val="24"/>
        </w:rPr>
        <w:t xml:space="preserve"> lett</w:t>
      </w:r>
      <w:r w:rsidR="47174307" w:rsidRPr="00912E55">
        <w:rPr>
          <w:rFonts w:eastAsia="Times New Roman" w:cs="Times New Roman"/>
          <w:szCs w:val="24"/>
        </w:rPr>
        <w:t>e</w:t>
      </w:r>
      <w:r w:rsidR="1D3C05D1" w:rsidRPr="00912E55">
        <w:rPr>
          <w:rFonts w:eastAsia="Times New Roman" w:cs="Times New Roman"/>
          <w:szCs w:val="24"/>
        </w:rPr>
        <w:t>r did no</w:t>
      </w:r>
      <w:r w:rsidR="4862443F" w:rsidRPr="00912E55">
        <w:rPr>
          <w:rFonts w:eastAsia="Times New Roman" w:cs="Times New Roman"/>
          <w:szCs w:val="24"/>
        </w:rPr>
        <w:t>t</w:t>
      </w:r>
      <w:r w:rsidR="1D3C05D1" w:rsidRPr="00912E55">
        <w:rPr>
          <w:rFonts w:eastAsia="Times New Roman" w:cs="Times New Roman"/>
          <w:szCs w:val="24"/>
        </w:rPr>
        <w:t xml:space="preserve"> have the effect of limiting the</w:t>
      </w:r>
      <w:r w:rsidR="43D01104" w:rsidRPr="00912E55">
        <w:rPr>
          <w:rFonts w:eastAsia="Times New Roman" w:cs="Times New Roman"/>
          <w:szCs w:val="24"/>
        </w:rPr>
        <w:t xml:space="preserve"> amount of the</w:t>
      </w:r>
      <w:r w:rsidR="1D3C05D1" w:rsidRPr="00912E55">
        <w:rPr>
          <w:rFonts w:eastAsia="Times New Roman" w:cs="Times New Roman"/>
          <w:szCs w:val="24"/>
        </w:rPr>
        <w:t xml:space="preserve"> Defendant’s c</w:t>
      </w:r>
      <w:r w:rsidR="7AAEBC3A" w:rsidRPr="00912E55">
        <w:rPr>
          <w:rFonts w:eastAsia="Times New Roman" w:cs="Times New Roman"/>
          <w:szCs w:val="24"/>
        </w:rPr>
        <w:t>la</w:t>
      </w:r>
      <w:r w:rsidR="1D3C05D1" w:rsidRPr="00912E55">
        <w:rPr>
          <w:rFonts w:eastAsia="Times New Roman" w:cs="Times New Roman"/>
          <w:szCs w:val="24"/>
        </w:rPr>
        <w:t>im to bas</w:t>
      </w:r>
      <w:r w:rsidR="00090B48">
        <w:rPr>
          <w:rFonts w:eastAsia="Times New Roman" w:cs="Times New Roman"/>
          <w:szCs w:val="24"/>
        </w:rPr>
        <w:t>e</w:t>
      </w:r>
      <w:r w:rsidR="1D3C05D1" w:rsidRPr="00912E55">
        <w:rPr>
          <w:rFonts w:eastAsia="Times New Roman" w:cs="Times New Roman"/>
          <w:szCs w:val="24"/>
        </w:rPr>
        <w:t xml:space="preserve"> costs.  I need say no more about that issue, which did not feature on this appeal.  </w:t>
      </w:r>
    </w:p>
    <w:p w14:paraId="538EC977" w14:textId="3C74C01C" w:rsidR="00B07919" w:rsidRPr="00B07919" w:rsidRDefault="00B07919" w:rsidP="00AC6944">
      <w:pPr>
        <w:pStyle w:val="ListParagraph"/>
        <w:spacing w:after="240" w:line="240" w:lineRule="auto"/>
        <w:contextualSpacing w:val="0"/>
        <w:jc w:val="both"/>
        <w:rPr>
          <w:i/>
          <w:iCs/>
          <w:szCs w:val="24"/>
        </w:rPr>
      </w:pPr>
      <w:r>
        <w:rPr>
          <w:i/>
          <w:iCs/>
          <w:szCs w:val="24"/>
        </w:rPr>
        <w:t>(2)(f)(iii) The “On Paper” Assessment: Point 2</w:t>
      </w:r>
    </w:p>
    <w:p w14:paraId="50003640" w14:textId="0BE217F1" w:rsidR="000B6A99" w:rsidRDefault="1D3C05D1" w:rsidP="00AC6944">
      <w:pPr>
        <w:pStyle w:val="ListParagraph"/>
        <w:numPr>
          <w:ilvl w:val="0"/>
          <w:numId w:val="15"/>
        </w:numPr>
        <w:spacing w:after="240" w:line="240" w:lineRule="auto"/>
        <w:contextualSpacing w:val="0"/>
        <w:jc w:val="both"/>
        <w:rPr>
          <w:rFonts w:eastAsia="Times New Roman" w:cs="Times New Roman"/>
          <w:szCs w:val="24"/>
        </w:rPr>
      </w:pPr>
      <w:r w:rsidRPr="00912E55">
        <w:rPr>
          <w:rFonts w:eastAsia="Times New Roman" w:cs="Times New Roman"/>
          <w:szCs w:val="24"/>
        </w:rPr>
        <w:t>The next point</w:t>
      </w:r>
      <w:r w:rsidR="4A7DEA17" w:rsidRPr="00912E55">
        <w:rPr>
          <w:rFonts w:eastAsia="Times New Roman" w:cs="Times New Roman"/>
          <w:szCs w:val="24"/>
        </w:rPr>
        <w:t xml:space="preserve"> </w:t>
      </w:r>
      <w:r w:rsidRPr="00912E55">
        <w:rPr>
          <w:rFonts w:eastAsia="Times New Roman" w:cs="Times New Roman"/>
          <w:szCs w:val="24"/>
        </w:rPr>
        <w:t xml:space="preserve">of dispute, labelled </w:t>
      </w:r>
      <w:r w:rsidR="4D62D60D" w:rsidRPr="00912E55">
        <w:rPr>
          <w:rFonts w:eastAsia="Times New Roman" w:cs="Times New Roman"/>
          <w:szCs w:val="24"/>
        </w:rPr>
        <w:t>“</w:t>
      </w:r>
      <w:r w:rsidRPr="00912E55">
        <w:rPr>
          <w:rFonts w:eastAsia="Times New Roman" w:cs="Times New Roman"/>
          <w:szCs w:val="24"/>
        </w:rPr>
        <w:t>Point 2</w:t>
      </w:r>
      <w:r w:rsidR="5A4FD7CF" w:rsidRPr="00912E55">
        <w:rPr>
          <w:rFonts w:eastAsia="Times New Roman" w:cs="Times New Roman"/>
          <w:szCs w:val="24"/>
        </w:rPr>
        <w:t>”</w:t>
      </w:r>
      <w:r w:rsidR="200A6953" w:rsidRPr="00912E55">
        <w:rPr>
          <w:rFonts w:eastAsia="Times New Roman" w:cs="Times New Roman"/>
          <w:szCs w:val="24"/>
        </w:rPr>
        <w:t>, was wheth</w:t>
      </w:r>
      <w:r w:rsidR="413C9D7A" w:rsidRPr="00912E55">
        <w:rPr>
          <w:rFonts w:eastAsia="Times New Roman" w:cs="Times New Roman"/>
          <w:szCs w:val="24"/>
        </w:rPr>
        <w:t>e</w:t>
      </w:r>
      <w:r w:rsidR="200A6953" w:rsidRPr="00912E55">
        <w:rPr>
          <w:rFonts w:eastAsia="Times New Roman" w:cs="Times New Roman"/>
          <w:szCs w:val="24"/>
        </w:rPr>
        <w:t xml:space="preserve">r </w:t>
      </w:r>
      <w:r w:rsidR="00E416E7">
        <w:rPr>
          <w:rFonts w:eastAsia="Times New Roman" w:cs="Times New Roman"/>
          <w:szCs w:val="24"/>
        </w:rPr>
        <w:t>sub</w:t>
      </w:r>
      <w:r w:rsidR="200A6953" w:rsidRPr="00912E55">
        <w:rPr>
          <w:rFonts w:eastAsia="Times New Roman" w:cs="Times New Roman"/>
          <w:szCs w:val="24"/>
        </w:rPr>
        <w:t xml:space="preserve">section 74(3) of the Solicitors Act 1974 </w:t>
      </w:r>
      <w:r w:rsidR="00E416E7">
        <w:rPr>
          <w:rFonts w:eastAsia="Times New Roman" w:cs="Times New Roman"/>
          <w:szCs w:val="24"/>
        </w:rPr>
        <w:t>limited the costs recoverable by the Defendant</w:t>
      </w:r>
      <w:r w:rsidR="200A6953" w:rsidRPr="00912E55">
        <w:rPr>
          <w:rFonts w:eastAsia="Times New Roman" w:cs="Times New Roman"/>
          <w:szCs w:val="24"/>
        </w:rPr>
        <w:t xml:space="preserve">.  </w:t>
      </w:r>
      <w:r w:rsidR="224E8395" w:rsidRPr="00912E55">
        <w:rPr>
          <w:rFonts w:eastAsia="Times New Roman" w:cs="Times New Roman"/>
          <w:szCs w:val="24"/>
        </w:rPr>
        <w:t>The Claim</w:t>
      </w:r>
      <w:r w:rsidR="5DC73A21" w:rsidRPr="00912E55">
        <w:rPr>
          <w:rFonts w:eastAsia="Times New Roman" w:cs="Times New Roman"/>
          <w:szCs w:val="24"/>
        </w:rPr>
        <w:t>a</w:t>
      </w:r>
      <w:r w:rsidR="224E8395" w:rsidRPr="00912E55">
        <w:rPr>
          <w:rFonts w:eastAsia="Times New Roman" w:cs="Times New Roman"/>
          <w:szCs w:val="24"/>
        </w:rPr>
        <w:t>nt</w:t>
      </w:r>
      <w:r w:rsidR="36CD69B0" w:rsidRPr="00912E55">
        <w:rPr>
          <w:rFonts w:eastAsia="Times New Roman" w:cs="Times New Roman"/>
          <w:szCs w:val="24"/>
        </w:rPr>
        <w:t xml:space="preserve">’s </w:t>
      </w:r>
      <w:r w:rsidR="224E8395" w:rsidRPr="00912E55">
        <w:rPr>
          <w:rFonts w:eastAsia="Times New Roman" w:cs="Times New Roman"/>
          <w:szCs w:val="24"/>
        </w:rPr>
        <w:t>conten</w:t>
      </w:r>
      <w:r w:rsidR="3E9E9DE7" w:rsidRPr="00912E55">
        <w:rPr>
          <w:rFonts w:eastAsia="Times New Roman" w:cs="Times New Roman"/>
          <w:szCs w:val="24"/>
        </w:rPr>
        <w:t>tion was</w:t>
      </w:r>
      <w:r w:rsidR="224E8395" w:rsidRPr="00912E55">
        <w:rPr>
          <w:rFonts w:eastAsia="Times New Roman" w:cs="Times New Roman"/>
          <w:szCs w:val="24"/>
        </w:rPr>
        <w:t xml:space="preserve"> that</w:t>
      </w:r>
      <w:r w:rsidR="000B6A99">
        <w:rPr>
          <w:rFonts w:eastAsia="Times New Roman" w:cs="Times New Roman"/>
          <w:szCs w:val="24"/>
        </w:rPr>
        <w:t>:</w:t>
      </w:r>
    </w:p>
    <w:p w14:paraId="39E6CD09" w14:textId="47B4E7FC" w:rsidR="000B6A99" w:rsidRDefault="00B07919" w:rsidP="00AC6944">
      <w:pPr>
        <w:pStyle w:val="ListParagraph"/>
        <w:numPr>
          <w:ilvl w:val="1"/>
          <w:numId w:val="15"/>
        </w:numPr>
        <w:spacing w:after="240" w:line="240" w:lineRule="auto"/>
        <w:contextualSpacing w:val="0"/>
        <w:jc w:val="both"/>
        <w:rPr>
          <w:rFonts w:eastAsia="Times New Roman" w:cs="Times New Roman"/>
          <w:szCs w:val="24"/>
        </w:rPr>
      </w:pPr>
      <w:r>
        <w:rPr>
          <w:rFonts w:eastAsia="Times New Roman" w:cs="Times New Roman"/>
          <w:szCs w:val="24"/>
        </w:rPr>
        <w:t>sub</w:t>
      </w:r>
      <w:r w:rsidR="224E8395" w:rsidRPr="00912E55">
        <w:rPr>
          <w:rFonts w:eastAsia="Times New Roman" w:cs="Times New Roman"/>
          <w:szCs w:val="24"/>
        </w:rPr>
        <w:t>section 74(3) of the Solicitors Act 1974 applie</w:t>
      </w:r>
      <w:r w:rsidR="00E81429">
        <w:rPr>
          <w:rFonts w:eastAsia="Times New Roman" w:cs="Times New Roman"/>
          <w:szCs w:val="24"/>
        </w:rPr>
        <w:t>d</w:t>
      </w:r>
      <w:r w:rsidR="00E416E7">
        <w:rPr>
          <w:rFonts w:eastAsia="Times New Roman" w:cs="Times New Roman"/>
          <w:szCs w:val="24"/>
        </w:rPr>
        <w:t xml:space="preserve"> because a claim under the Protocol constituted “proceedings in the county court”</w:t>
      </w:r>
      <w:r w:rsidR="000B6A99">
        <w:rPr>
          <w:rFonts w:eastAsia="Times New Roman" w:cs="Times New Roman"/>
          <w:szCs w:val="24"/>
        </w:rPr>
        <w:t>;</w:t>
      </w:r>
      <w:r w:rsidR="224E8395" w:rsidRPr="00912E55">
        <w:rPr>
          <w:rFonts w:eastAsia="Times New Roman" w:cs="Times New Roman"/>
          <w:szCs w:val="24"/>
        </w:rPr>
        <w:t xml:space="preserve"> </w:t>
      </w:r>
    </w:p>
    <w:p w14:paraId="1710547A" w14:textId="319DC18C" w:rsidR="000B6A99" w:rsidRDefault="00B07919" w:rsidP="00AC6944">
      <w:pPr>
        <w:pStyle w:val="ListParagraph"/>
        <w:numPr>
          <w:ilvl w:val="1"/>
          <w:numId w:val="15"/>
        </w:numPr>
        <w:spacing w:after="240" w:line="240" w:lineRule="auto"/>
        <w:contextualSpacing w:val="0"/>
        <w:jc w:val="both"/>
        <w:rPr>
          <w:rFonts w:eastAsia="Times New Roman" w:cs="Times New Roman"/>
          <w:szCs w:val="24"/>
        </w:rPr>
      </w:pPr>
      <w:r>
        <w:rPr>
          <w:rFonts w:eastAsia="Times New Roman" w:cs="Times New Roman"/>
          <w:szCs w:val="24"/>
        </w:rPr>
        <w:t xml:space="preserve">that subsection was not disapplied pursuant to CPR 46.9(2) because </w:t>
      </w:r>
      <w:r w:rsidR="224E8395" w:rsidRPr="00912E55">
        <w:rPr>
          <w:rFonts w:eastAsia="Times New Roman" w:cs="Times New Roman"/>
          <w:szCs w:val="24"/>
        </w:rPr>
        <w:t>the Defe</w:t>
      </w:r>
      <w:r w:rsidR="725579E7" w:rsidRPr="00912E55">
        <w:rPr>
          <w:rFonts w:eastAsia="Times New Roman" w:cs="Times New Roman"/>
          <w:szCs w:val="24"/>
        </w:rPr>
        <w:t>nd</w:t>
      </w:r>
      <w:r w:rsidR="224E8395" w:rsidRPr="00912E55">
        <w:rPr>
          <w:rFonts w:eastAsia="Times New Roman" w:cs="Times New Roman"/>
          <w:szCs w:val="24"/>
        </w:rPr>
        <w:t>ant had not obtained the Clai</w:t>
      </w:r>
      <w:r w:rsidR="1E272FED" w:rsidRPr="00912E55">
        <w:rPr>
          <w:rFonts w:eastAsia="Times New Roman" w:cs="Times New Roman"/>
          <w:szCs w:val="24"/>
        </w:rPr>
        <w:t>mant</w:t>
      </w:r>
      <w:r w:rsidR="224E8395" w:rsidRPr="00912E55">
        <w:rPr>
          <w:rFonts w:eastAsia="Times New Roman" w:cs="Times New Roman"/>
          <w:szCs w:val="24"/>
        </w:rPr>
        <w:t>’s informed conse</w:t>
      </w:r>
      <w:r w:rsidR="5EDBA36A" w:rsidRPr="00912E55">
        <w:rPr>
          <w:rFonts w:eastAsia="Times New Roman" w:cs="Times New Roman"/>
          <w:szCs w:val="24"/>
        </w:rPr>
        <w:t>nt to</w:t>
      </w:r>
      <w:r w:rsidR="2A8B9F68" w:rsidRPr="00912E55">
        <w:rPr>
          <w:rFonts w:eastAsia="Times New Roman" w:cs="Times New Roman"/>
          <w:szCs w:val="24"/>
        </w:rPr>
        <w:t xml:space="preserve"> the agreement between them insofar as it permitted payment to the Defendant of an amount of </w:t>
      </w:r>
      <w:r w:rsidR="00E416E7">
        <w:rPr>
          <w:rFonts w:eastAsia="Times New Roman" w:cs="Times New Roman"/>
          <w:szCs w:val="24"/>
        </w:rPr>
        <w:t xml:space="preserve">base </w:t>
      </w:r>
      <w:r w:rsidR="2A8B9F68" w:rsidRPr="00912E55">
        <w:rPr>
          <w:rFonts w:eastAsia="Times New Roman" w:cs="Times New Roman"/>
          <w:szCs w:val="24"/>
        </w:rPr>
        <w:t>costs greater than that which the Claimant could have recovered from Aviva</w:t>
      </w:r>
      <w:r w:rsidR="000B6A99">
        <w:rPr>
          <w:rFonts w:eastAsia="Times New Roman" w:cs="Times New Roman"/>
          <w:szCs w:val="24"/>
        </w:rPr>
        <w:t>;</w:t>
      </w:r>
      <w:r w:rsidR="2A8B9F68" w:rsidRPr="00912E55">
        <w:rPr>
          <w:rFonts w:eastAsia="Times New Roman" w:cs="Times New Roman"/>
          <w:szCs w:val="24"/>
        </w:rPr>
        <w:t xml:space="preserve"> and </w:t>
      </w:r>
    </w:p>
    <w:p w14:paraId="1D09F9C7" w14:textId="37B70DD2" w:rsidR="000B6A99" w:rsidRDefault="2A8B9F68" w:rsidP="00AC6944">
      <w:pPr>
        <w:pStyle w:val="ListParagraph"/>
        <w:numPr>
          <w:ilvl w:val="1"/>
          <w:numId w:val="15"/>
        </w:numPr>
        <w:spacing w:after="240" w:line="240" w:lineRule="auto"/>
        <w:contextualSpacing w:val="0"/>
        <w:jc w:val="both"/>
        <w:rPr>
          <w:rFonts w:eastAsia="Times New Roman" w:cs="Times New Roman"/>
          <w:szCs w:val="24"/>
        </w:rPr>
      </w:pPr>
      <w:r w:rsidRPr="00912E55">
        <w:rPr>
          <w:rFonts w:eastAsia="Times New Roman" w:cs="Times New Roman"/>
          <w:szCs w:val="24"/>
        </w:rPr>
        <w:t>consequently, the</w:t>
      </w:r>
      <w:r w:rsidR="176D45B4" w:rsidRPr="00912E55">
        <w:rPr>
          <w:rFonts w:eastAsia="Times New Roman" w:cs="Times New Roman"/>
          <w:szCs w:val="24"/>
        </w:rPr>
        <w:t xml:space="preserve"> Defendant could no</w:t>
      </w:r>
      <w:r w:rsidR="1183B114" w:rsidRPr="00912E55">
        <w:rPr>
          <w:rFonts w:eastAsia="Times New Roman" w:cs="Times New Roman"/>
          <w:szCs w:val="24"/>
        </w:rPr>
        <w:t>t</w:t>
      </w:r>
      <w:r w:rsidR="176D45B4" w:rsidRPr="00912E55">
        <w:rPr>
          <w:rFonts w:eastAsia="Times New Roman" w:cs="Times New Roman"/>
          <w:szCs w:val="24"/>
        </w:rPr>
        <w:t xml:space="preserve"> recover </w:t>
      </w:r>
      <w:r w:rsidR="7152EF4D" w:rsidRPr="00912E55">
        <w:rPr>
          <w:rFonts w:eastAsia="Times New Roman" w:cs="Times New Roman"/>
          <w:szCs w:val="24"/>
        </w:rPr>
        <w:t>from the Claim</w:t>
      </w:r>
      <w:r w:rsidR="78280070" w:rsidRPr="00912E55">
        <w:rPr>
          <w:rFonts w:eastAsia="Times New Roman" w:cs="Times New Roman"/>
          <w:szCs w:val="24"/>
        </w:rPr>
        <w:t>a</w:t>
      </w:r>
      <w:r w:rsidR="7152EF4D" w:rsidRPr="00912E55">
        <w:rPr>
          <w:rFonts w:eastAsia="Times New Roman" w:cs="Times New Roman"/>
          <w:szCs w:val="24"/>
        </w:rPr>
        <w:t xml:space="preserve">nt </w:t>
      </w:r>
      <w:r w:rsidR="176D45B4" w:rsidRPr="00912E55">
        <w:rPr>
          <w:rFonts w:eastAsia="Times New Roman" w:cs="Times New Roman"/>
          <w:szCs w:val="24"/>
        </w:rPr>
        <w:t>more by way o</w:t>
      </w:r>
      <w:r w:rsidR="0AF41F2E" w:rsidRPr="00912E55">
        <w:rPr>
          <w:rFonts w:eastAsia="Times New Roman" w:cs="Times New Roman"/>
          <w:szCs w:val="24"/>
        </w:rPr>
        <w:t>f</w:t>
      </w:r>
      <w:r w:rsidR="176D45B4" w:rsidRPr="00912E55">
        <w:rPr>
          <w:rFonts w:eastAsia="Times New Roman" w:cs="Times New Roman"/>
          <w:szCs w:val="24"/>
        </w:rPr>
        <w:t xml:space="preserve"> </w:t>
      </w:r>
      <w:r w:rsidR="00E416E7">
        <w:rPr>
          <w:rFonts w:eastAsia="Times New Roman" w:cs="Times New Roman"/>
          <w:szCs w:val="24"/>
        </w:rPr>
        <w:t>base</w:t>
      </w:r>
      <w:r w:rsidR="176D45B4" w:rsidRPr="00912E55">
        <w:rPr>
          <w:rFonts w:eastAsia="Times New Roman" w:cs="Times New Roman"/>
          <w:szCs w:val="24"/>
        </w:rPr>
        <w:t xml:space="preserve"> costs than it had received from Aviva.  </w:t>
      </w:r>
      <w:r w:rsidR="00E416E7">
        <w:rPr>
          <w:rFonts w:eastAsia="Times New Roman" w:cs="Times New Roman"/>
          <w:szCs w:val="24"/>
        </w:rPr>
        <w:t xml:space="preserve">(It is arguable that, if subsection 74(3) </w:t>
      </w:r>
      <w:r w:rsidR="008166DA">
        <w:rPr>
          <w:rFonts w:eastAsia="Times New Roman" w:cs="Times New Roman"/>
          <w:szCs w:val="24"/>
        </w:rPr>
        <w:t xml:space="preserve">had </w:t>
      </w:r>
      <w:r w:rsidR="00E416E7">
        <w:rPr>
          <w:rFonts w:eastAsia="Times New Roman" w:cs="Times New Roman"/>
          <w:szCs w:val="24"/>
        </w:rPr>
        <w:t xml:space="preserve">applied, it </w:t>
      </w:r>
      <w:r w:rsidR="008166DA">
        <w:rPr>
          <w:rFonts w:eastAsia="Times New Roman" w:cs="Times New Roman"/>
          <w:szCs w:val="24"/>
        </w:rPr>
        <w:t xml:space="preserve">would have </w:t>
      </w:r>
      <w:r w:rsidR="00E416E7">
        <w:rPr>
          <w:rFonts w:eastAsia="Times New Roman" w:cs="Times New Roman"/>
          <w:szCs w:val="24"/>
        </w:rPr>
        <w:t>limited the Defendant’s base cost</w:t>
      </w:r>
      <w:r w:rsidR="00B62E33">
        <w:rPr>
          <w:rFonts w:eastAsia="Times New Roman" w:cs="Times New Roman"/>
          <w:szCs w:val="24"/>
        </w:rPr>
        <w:t>s</w:t>
      </w:r>
      <w:r w:rsidR="00E416E7">
        <w:rPr>
          <w:rFonts w:eastAsia="Times New Roman" w:cs="Times New Roman"/>
          <w:szCs w:val="24"/>
        </w:rPr>
        <w:t xml:space="preserve"> to the £600 (including VAT) “which could have been allowed</w:t>
      </w:r>
      <w:r w:rsidR="00EB37DE">
        <w:rPr>
          <w:rFonts w:eastAsia="Times New Roman" w:cs="Times New Roman"/>
          <w:szCs w:val="24"/>
        </w:rPr>
        <w:t xml:space="preserve"> ...</w:t>
      </w:r>
      <w:r w:rsidR="00E416E7">
        <w:rPr>
          <w:rFonts w:eastAsia="Times New Roman" w:cs="Times New Roman"/>
          <w:szCs w:val="24"/>
        </w:rPr>
        <w:t xml:space="preserve"> as between party and party”, </w:t>
      </w:r>
      <w:r w:rsidR="008166DA">
        <w:rPr>
          <w:rFonts w:eastAsia="Times New Roman" w:cs="Times New Roman"/>
          <w:szCs w:val="24"/>
        </w:rPr>
        <w:t>rather than the £900 actually paid by Aviva to the Defendant, but the Claimant did not object to the Defendant retaining the £300 paid by Aviva by mistake.)</w:t>
      </w:r>
    </w:p>
    <w:p w14:paraId="7907212F" w14:textId="53B6A85C" w:rsidR="00B62E33" w:rsidRDefault="176D45B4" w:rsidP="00AC6944">
      <w:pPr>
        <w:pStyle w:val="ListParagraph"/>
        <w:numPr>
          <w:ilvl w:val="0"/>
          <w:numId w:val="15"/>
        </w:numPr>
        <w:spacing w:after="240" w:line="240" w:lineRule="auto"/>
        <w:contextualSpacing w:val="0"/>
        <w:jc w:val="both"/>
        <w:rPr>
          <w:rFonts w:eastAsia="Times New Roman" w:cs="Times New Roman"/>
          <w:szCs w:val="24"/>
        </w:rPr>
      </w:pPr>
      <w:r w:rsidRPr="00912E55">
        <w:rPr>
          <w:rFonts w:eastAsia="Times New Roman" w:cs="Times New Roman"/>
          <w:szCs w:val="24"/>
        </w:rPr>
        <w:t>The Defen</w:t>
      </w:r>
      <w:r w:rsidR="7265ED3F" w:rsidRPr="00912E55">
        <w:rPr>
          <w:rFonts w:eastAsia="Times New Roman" w:cs="Times New Roman"/>
          <w:szCs w:val="24"/>
        </w:rPr>
        <w:t>d</w:t>
      </w:r>
      <w:r w:rsidRPr="00912E55">
        <w:rPr>
          <w:rFonts w:eastAsia="Times New Roman" w:cs="Times New Roman"/>
          <w:szCs w:val="24"/>
        </w:rPr>
        <w:t>ant cont</w:t>
      </w:r>
      <w:r w:rsidR="785B7AEC" w:rsidRPr="00912E55">
        <w:rPr>
          <w:rFonts w:eastAsia="Times New Roman" w:cs="Times New Roman"/>
          <w:szCs w:val="24"/>
        </w:rPr>
        <w:t>e</w:t>
      </w:r>
      <w:r w:rsidRPr="00912E55">
        <w:rPr>
          <w:rFonts w:eastAsia="Times New Roman" w:cs="Times New Roman"/>
          <w:szCs w:val="24"/>
        </w:rPr>
        <w:t xml:space="preserve">nded that </w:t>
      </w:r>
      <w:r w:rsidR="00B07919">
        <w:rPr>
          <w:rFonts w:eastAsia="Times New Roman" w:cs="Times New Roman"/>
          <w:szCs w:val="24"/>
        </w:rPr>
        <w:t>sub</w:t>
      </w:r>
      <w:r w:rsidRPr="00912E55">
        <w:rPr>
          <w:rFonts w:eastAsia="Times New Roman" w:cs="Times New Roman"/>
          <w:szCs w:val="24"/>
        </w:rPr>
        <w:t>section 74(3) did no</w:t>
      </w:r>
      <w:r w:rsidR="7DCE7F40" w:rsidRPr="00912E55">
        <w:rPr>
          <w:rFonts w:eastAsia="Times New Roman" w:cs="Times New Roman"/>
          <w:szCs w:val="24"/>
        </w:rPr>
        <w:t>t</w:t>
      </w:r>
      <w:r w:rsidRPr="00912E55">
        <w:rPr>
          <w:rFonts w:eastAsia="Times New Roman" w:cs="Times New Roman"/>
          <w:szCs w:val="24"/>
        </w:rPr>
        <w:t xml:space="preserve"> apply, because</w:t>
      </w:r>
      <w:r w:rsidR="200A6953" w:rsidRPr="00912E55">
        <w:rPr>
          <w:rFonts w:eastAsia="Times New Roman" w:cs="Times New Roman"/>
          <w:szCs w:val="24"/>
        </w:rPr>
        <w:t xml:space="preserve"> </w:t>
      </w:r>
      <w:r w:rsidR="008166DA">
        <w:rPr>
          <w:rFonts w:eastAsia="Times New Roman" w:cs="Times New Roman"/>
          <w:szCs w:val="24"/>
        </w:rPr>
        <w:t>no claim form was issued and therefore</w:t>
      </w:r>
      <w:r w:rsidR="008166DA" w:rsidRPr="00912E55">
        <w:rPr>
          <w:rFonts w:eastAsia="Times New Roman" w:cs="Times New Roman"/>
          <w:szCs w:val="24"/>
        </w:rPr>
        <w:t xml:space="preserve"> </w:t>
      </w:r>
      <w:r w:rsidR="200A6953" w:rsidRPr="00912E55">
        <w:rPr>
          <w:rFonts w:eastAsia="Times New Roman" w:cs="Times New Roman"/>
          <w:szCs w:val="24"/>
        </w:rPr>
        <w:t>no proceedin</w:t>
      </w:r>
      <w:r w:rsidR="4FB2DF3E" w:rsidRPr="00912E55">
        <w:rPr>
          <w:rFonts w:eastAsia="Times New Roman" w:cs="Times New Roman"/>
          <w:szCs w:val="24"/>
        </w:rPr>
        <w:t>g</w:t>
      </w:r>
      <w:r w:rsidR="200A6953" w:rsidRPr="00912E55">
        <w:rPr>
          <w:rFonts w:eastAsia="Times New Roman" w:cs="Times New Roman"/>
          <w:szCs w:val="24"/>
        </w:rPr>
        <w:t xml:space="preserve">s were commenced.  </w:t>
      </w:r>
      <w:r w:rsidR="000B6A99">
        <w:rPr>
          <w:rFonts w:eastAsia="Times New Roman" w:cs="Times New Roman"/>
          <w:szCs w:val="24"/>
        </w:rPr>
        <w:t xml:space="preserve">I will refer to this as “the construction issue”.  </w:t>
      </w:r>
      <w:r w:rsidR="00ED4F4F">
        <w:rPr>
          <w:rFonts w:eastAsia="Times New Roman" w:cs="Times New Roman"/>
          <w:szCs w:val="24"/>
        </w:rPr>
        <w:t>The Defendant also contended that informed consent was not required for the purposes of CPR 46.9(2), but that, in any event, the Claimant had given her informed consent.</w:t>
      </w:r>
    </w:p>
    <w:p w14:paraId="2B78A348" w14:textId="04F2FE01" w:rsidR="00912E55" w:rsidRDefault="200A6953" w:rsidP="00AC6944">
      <w:pPr>
        <w:pStyle w:val="ListParagraph"/>
        <w:numPr>
          <w:ilvl w:val="0"/>
          <w:numId w:val="15"/>
        </w:numPr>
        <w:spacing w:after="240" w:line="240" w:lineRule="auto"/>
        <w:contextualSpacing w:val="0"/>
        <w:jc w:val="both"/>
        <w:rPr>
          <w:rFonts w:eastAsia="Times New Roman" w:cs="Times New Roman"/>
          <w:szCs w:val="24"/>
        </w:rPr>
      </w:pPr>
      <w:r w:rsidRPr="00912E55">
        <w:rPr>
          <w:rFonts w:eastAsia="Times New Roman" w:cs="Times New Roman"/>
          <w:szCs w:val="24"/>
        </w:rPr>
        <w:t xml:space="preserve">The </w:t>
      </w:r>
      <w:r w:rsidR="008166DA">
        <w:rPr>
          <w:rFonts w:eastAsia="Times New Roman" w:cs="Times New Roman"/>
          <w:szCs w:val="24"/>
        </w:rPr>
        <w:t>d</w:t>
      </w:r>
      <w:r w:rsidR="00E57DAB">
        <w:rPr>
          <w:rFonts w:eastAsia="Times New Roman" w:cs="Times New Roman"/>
          <w:szCs w:val="24"/>
        </w:rPr>
        <w:t>istrict</w:t>
      </w:r>
      <w:r w:rsidRPr="00912E55">
        <w:rPr>
          <w:rFonts w:eastAsia="Times New Roman" w:cs="Times New Roman"/>
          <w:szCs w:val="24"/>
        </w:rPr>
        <w:t xml:space="preserve"> </w:t>
      </w:r>
      <w:r w:rsidR="008166DA">
        <w:rPr>
          <w:rFonts w:eastAsia="Times New Roman" w:cs="Times New Roman"/>
          <w:szCs w:val="24"/>
        </w:rPr>
        <w:t>j</w:t>
      </w:r>
      <w:r w:rsidR="00E57DAB">
        <w:rPr>
          <w:rFonts w:eastAsia="Times New Roman" w:cs="Times New Roman"/>
          <w:szCs w:val="24"/>
        </w:rPr>
        <w:t>udge</w:t>
      </w:r>
      <w:r w:rsidRPr="00912E55">
        <w:rPr>
          <w:rFonts w:eastAsia="Times New Roman" w:cs="Times New Roman"/>
          <w:szCs w:val="24"/>
        </w:rPr>
        <w:t xml:space="preserve"> </w:t>
      </w:r>
      <w:r w:rsidR="008166DA">
        <w:rPr>
          <w:rFonts w:eastAsia="Times New Roman" w:cs="Times New Roman"/>
          <w:szCs w:val="24"/>
        </w:rPr>
        <w:t xml:space="preserve">held </w:t>
      </w:r>
      <w:r w:rsidR="000EBA98" w:rsidRPr="00912E55">
        <w:rPr>
          <w:rFonts w:eastAsia="Times New Roman" w:cs="Times New Roman"/>
          <w:szCs w:val="24"/>
        </w:rPr>
        <w:t xml:space="preserve">that </w:t>
      </w:r>
      <w:r w:rsidR="00B07919">
        <w:rPr>
          <w:rFonts w:eastAsia="Times New Roman" w:cs="Times New Roman"/>
          <w:szCs w:val="24"/>
        </w:rPr>
        <w:t>sub</w:t>
      </w:r>
      <w:r w:rsidR="000EBA98" w:rsidRPr="00912E55">
        <w:rPr>
          <w:rFonts w:eastAsia="Times New Roman" w:cs="Times New Roman"/>
          <w:szCs w:val="24"/>
        </w:rPr>
        <w:t>section 74(3) applied</w:t>
      </w:r>
      <w:r w:rsidR="000B6A99">
        <w:rPr>
          <w:rFonts w:eastAsia="Times New Roman" w:cs="Times New Roman"/>
          <w:szCs w:val="24"/>
        </w:rPr>
        <w:t xml:space="preserve"> and appears to </w:t>
      </w:r>
      <w:r w:rsidR="00E81429">
        <w:rPr>
          <w:rFonts w:eastAsia="Times New Roman" w:cs="Times New Roman"/>
          <w:szCs w:val="24"/>
        </w:rPr>
        <w:t xml:space="preserve">have </w:t>
      </w:r>
      <w:r w:rsidR="000B6A99">
        <w:rPr>
          <w:rFonts w:eastAsia="Times New Roman" w:cs="Times New Roman"/>
          <w:szCs w:val="24"/>
        </w:rPr>
        <w:t>accepted that the Defenda</w:t>
      </w:r>
      <w:r w:rsidR="002A21E8">
        <w:rPr>
          <w:rFonts w:eastAsia="Times New Roman" w:cs="Times New Roman"/>
          <w:szCs w:val="24"/>
        </w:rPr>
        <w:t>n</w:t>
      </w:r>
      <w:r w:rsidR="000B6A99">
        <w:rPr>
          <w:rFonts w:eastAsia="Times New Roman" w:cs="Times New Roman"/>
          <w:szCs w:val="24"/>
        </w:rPr>
        <w:t xml:space="preserve">t </w:t>
      </w:r>
      <w:r w:rsidR="008166DA">
        <w:rPr>
          <w:rFonts w:eastAsia="Times New Roman" w:cs="Times New Roman"/>
          <w:szCs w:val="24"/>
        </w:rPr>
        <w:t>could not invoke</w:t>
      </w:r>
      <w:r w:rsidR="000B6A99">
        <w:rPr>
          <w:rFonts w:eastAsia="Times New Roman" w:cs="Times New Roman"/>
          <w:szCs w:val="24"/>
        </w:rPr>
        <w:t xml:space="preserve"> CPR 46.9(2</w:t>
      </w:r>
      <w:r w:rsidR="002A21E8">
        <w:rPr>
          <w:rFonts w:eastAsia="Times New Roman" w:cs="Times New Roman"/>
          <w:szCs w:val="24"/>
        </w:rPr>
        <w:t>).</w:t>
      </w:r>
      <w:r w:rsidR="00A47FCD">
        <w:rPr>
          <w:rFonts w:eastAsia="Times New Roman" w:cs="Times New Roman"/>
          <w:szCs w:val="24"/>
        </w:rPr>
        <w:t xml:space="preserve">  He said as follows:</w:t>
      </w:r>
    </w:p>
    <w:p w14:paraId="3A14456E" w14:textId="081A33EE" w:rsidR="00A47FCD" w:rsidRPr="00912E55" w:rsidRDefault="00A47FCD" w:rsidP="00AC6944">
      <w:pPr>
        <w:pStyle w:val="ListParagraph"/>
        <w:spacing w:after="240" w:line="240" w:lineRule="auto"/>
        <w:ind w:left="1440"/>
        <w:contextualSpacing w:val="0"/>
        <w:jc w:val="both"/>
        <w:rPr>
          <w:rFonts w:eastAsia="Times New Roman" w:cs="Times New Roman"/>
          <w:szCs w:val="24"/>
        </w:rPr>
      </w:pPr>
      <w:r>
        <w:rPr>
          <w:rFonts w:eastAsia="Times New Roman" w:cs="Times New Roman"/>
          <w:szCs w:val="24"/>
        </w:rPr>
        <w:t>“74(3) applies: County Court proceedings were contemplated by the mere fact of adopting the Low Value procedure in CPR.  However, the fixed cost will operate as a cap (limit) on recovery unless there is a written agreement in clear terms: CPR 46.9(2).”</w:t>
      </w:r>
    </w:p>
    <w:p w14:paraId="7542B7AC" w14:textId="5DAC5A87" w:rsidR="00B07919" w:rsidRPr="00B07919" w:rsidRDefault="00B07919" w:rsidP="00AC6944">
      <w:pPr>
        <w:pStyle w:val="ListParagraph"/>
        <w:spacing w:after="240" w:line="240" w:lineRule="auto"/>
        <w:contextualSpacing w:val="0"/>
        <w:jc w:val="both"/>
        <w:rPr>
          <w:i/>
          <w:iCs/>
          <w:szCs w:val="24"/>
        </w:rPr>
      </w:pPr>
      <w:r>
        <w:rPr>
          <w:i/>
          <w:iCs/>
          <w:szCs w:val="24"/>
        </w:rPr>
        <w:t>(2)(f)(iv) The “On Paper” Assessment: Point 3</w:t>
      </w:r>
    </w:p>
    <w:p w14:paraId="544AB9B7" w14:textId="7DA4D964" w:rsidR="00B62E33" w:rsidRPr="00B62E33" w:rsidRDefault="469A5AFC" w:rsidP="00AC6944">
      <w:pPr>
        <w:pStyle w:val="ListParagraph"/>
        <w:numPr>
          <w:ilvl w:val="0"/>
          <w:numId w:val="15"/>
        </w:numPr>
        <w:spacing w:after="240" w:line="240" w:lineRule="auto"/>
        <w:contextualSpacing w:val="0"/>
        <w:jc w:val="both"/>
        <w:rPr>
          <w:szCs w:val="24"/>
        </w:rPr>
      </w:pPr>
      <w:r w:rsidRPr="064C8778">
        <w:rPr>
          <w:rFonts w:eastAsia="Times New Roman" w:cs="Times New Roman"/>
          <w:szCs w:val="24"/>
        </w:rPr>
        <w:t>The next point o</w:t>
      </w:r>
      <w:r w:rsidR="23D18131" w:rsidRPr="064C8778">
        <w:rPr>
          <w:rFonts w:eastAsia="Times New Roman" w:cs="Times New Roman"/>
          <w:szCs w:val="24"/>
        </w:rPr>
        <w:t>f</w:t>
      </w:r>
      <w:r w:rsidRPr="064C8778">
        <w:rPr>
          <w:rFonts w:eastAsia="Times New Roman" w:cs="Times New Roman"/>
          <w:szCs w:val="24"/>
        </w:rPr>
        <w:t xml:space="preserve"> dispute, labelled “Point 3”, </w:t>
      </w:r>
      <w:r w:rsidR="445DBFD3" w:rsidRPr="064C8778">
        <w:rPr>
          <w:rFonts w:eastAsia="Times New Roman" w:cs="Times New Roman"/>
          <w:szCs w:val="24"/>
        </w:rPr>
        <w:t xml:space="preserve">concerned the </w:t>
      </w:r>
      <w:r w:rsidR="008166DA">
        <w:rPr>
          <w:rFonts w:eastAsia="Times New Roman" w:cs="Times New Roman"/>
          <w:szCs w:val="24"/>
        </w:rPr>
        <w:t xml:space="preserve">case advanced by the </w:t>
      </w:r>
      <w:r w:rsidR="445DBFD3" w:rsidRPr="064C8778">
        <w:rPr>
          <w:rFonts w:eastAsia="Times New Roman" w:cs="Times New Roman"/>
          <w:szCs w:val="24"/>
        </w:rPr>
        <w:t>Claim</w:t>
      </w:r>
      <w:r w:rsidR="5BD97462" w:rsidRPr="064C8778">
        <w:rPr>
          <w:rFonts w:eastAsia="Times New Roman" w:cs="Times New Roman"/>
          <w:szCs w:val="24"/>
        </w:rPr>
        <w:t>a</w:t>
      </w:r>
      <w:r w:rsidR="445DBFD3" w:rsidRPr="064C8778">
        <w:rPr>
          <w:rFonts w:eastAsia="Times New Roman" w:cs="Times New Roman"/>
          <w:szCs w:val="24"/>
        </w:rPr>
        <w:t>nt</w:t>
      </w:r>
      <w:r w:rsidR="008166DA">
        <w:rPr>
          <w:rFonts w:eastAsia="Times New Roman" w:cs="Times New Roman"/>
          <w:szCs w:val="24"/>
        </w:rPr>
        <w:t xml:space="preserve"> in the </w:t>
      </w:r>
      <w:r w:rsidR="445DBFD3" w:rsidRPr="064C8778">
        <w:rPr>
          <w:rFonts w:eastAsia="Times New Roman" w:cs="Times New Roman"/>
          <w:szCs w:val="24"/>
        </w:rPr>
        <w:t>al</w:t>
      </w:r>
      <w:r w:rsidR="1866C52E" w:rsidRPr="064C8778">
        <w:rPr>
          <w:rFonts w:eastAsia="Times New Roman" w:cs="Times New Roman"/>
          <w:szCs w:val="24"/>
        </w:rPr>
        <w:t>te</w:t>
      </w:r>
      <w:r w:rsidR="445DBFD3" w:rsidRPr="064C8778">
        <w:rPr>
          <w:rFonts w:eastAsia="Times New Roman" w:cs="Times New Roman"/>
          <w:szCs w:val="24"/>
        </w:rPr>
        <w:t xml:space="preserve">rnative </w:t>
      </w:r>
      <w:r w:rsidR="008166DA">
        <w:rPr>
          <w:rFonts w:eastAsia="Times New Roman" w:cs="Times New Roman"/>
          <w:szCs w:val="24"/>
        </w:rPr>
        <w:t>to Point 2 i</w:t>
      </w:r>
      <w:r w:rsidR="445DBFD3" w:rsidRPr="064C8778">
        <w:rPr>
          <w:rFonts w:eastAsia="Times New Roman" w:cs="Times New Roman"/>
          <w:szCs w:val="24"/>
        </w:rPr>
        <w:t xml:space="preserve">n relation to </w:t>
      </w:r>
      <w:r w:rsidR="1C81364F" w:rsidRPr="064C8778">
        <w:rPr>
          <w:rFonts w:eastAsia="Times New Roman" w:cs="Times New Roman"/>
          <w:szCs w:val="24"/>
        </w:rPr>
        <w:t>bas</w:t>
      </w:r>
      <w:r w:rsidR="008166DA">
        <w:rPr>
          <w:rFonts w:eastAsia="Times New Roman" w:cs="Times New Roman"/>
          <w:szCs w:val="24"/>
        </w:rPr>
        <w:t>e</w:t>
      </w:r>
      <w:r w:rsidR="1C81364F" w:rsidRPr="064C8778">
        <w:rPr>
          <w:rFonts w:eastAsia="Times New Roman" w:cs="Times New Roman"/>
          <w:szCs w:val="24"/>
        </w:rPr>
        <w:t xml:space="preserve"> costs.  The Claim</w:t>
      </w:r>
      <w:r w:rsidR="30EA3A3B" w:rsidRPr="064C8778">
        <w:rPr>
          <w:rFonts w:eastAsia="Times New Roman" w:cs="Times New Roman"/>
          <w:szCs w:val="24"/>
        </w:rPr>
        <w:t>a</w:t>
      </w:r>
      <w:r w:rsidR="1C81364F" w:rsidRPr="064C8778">
        <w:rPr>
          <w:rFonts w:eastAsia="Times New Roman" w:cs="Times New Roman"/>
          <w:szCs w:val="24"/>
        </w:rPr>
        <w:t xml:space="preserve">nt contended that the </w:t>
      </w:r>
      <w:r w:rsidR="008166DA">
        <w:rPr>
          <w:rFonts w:eastAsia="Times New Roman" w:cs="Times New Roman"/>
          <w:szCs w:val="24"/>
        </w:rPr>
        <w:t xml:space="preserve">base </w:t>
      </w:r>
      <w:r w:rsidR="1C81364F" w:rsidRPr="064C8778">
        <w:rPr>
          <w:rFonts w:eastAsia="Times New Roman" w:cs="Times New Roman"/>
          <w:szCs w:val="24"/>
        </w:rPr>
        <w:t xml:space="preserve">costs claimed were unreasonable.  Point 3 </w:t>
      </w:r>
      <w:r w:rsidRPr="064C8778">
        <w:rPr>
          <w:rFonts w:eastAsia="Times New Roman" w:cs="Times New Roman"/>
          <w:szCs w:val="24"/>
        </w:rPr>
        <w:t>consi</w:t>
      </w:r>
      <w:r w:rsidR="26E45866" w:rsidRPr="064C8778">
        <w:rPr>
          <w:rFonts w:eastAsia="Times New Roman" w:cs="Times New Roman"/>
          <w:szCs w:val="24"/>
        </w:rPr>
        <w:t>s</w:t>
      </w:r>
      <w:r w:rsidRPr="064C8778">
        <w:rPr>
          <w:rFonts w:eastAsia="Times New Roman" w:cs="Times New Roman"/>
          <w:szCs w:val="24"/>
        </w:rPr>
        <w:t>ted of a numb</w:t>
      </w:r>
      <w:r w:rsidR="33846259" w:rsidRPr="064C8778">
        <w:rPr>
          <w:rFonts w:eastAsia="Times New Roman" w:cs="Times New Roman"/>
          <w:szCs w:val="24"/>
        </w:rPr>
        <w:t>e</w:t>
      </w:r>
      <w:r w:rsidRPr="064C8778">
        <w:rPr>
          <w:rFonts w:eastAsia="Times New Roman" w:cs="Times New Roman"/>
          <w:szCs w:val="24"/>
        </w:rPr>
        <w:t xml:space="preserve">r </w:t>
      </w:r>
      <w:r w:rsidR="554FACD4" w:rsidRPr="064C8778">
        <w:rPr>
          <w:rFonts w:eastAsia="Times New Roman" w:cs="Times New Roman"/>
          <w:szCs w:val="24"/>
        </w:rPr>
        <w:t>of</w:t>
      </w:r>
      <w:r w:rsidRPr="064C8778">
        <w:rPr>
          <w:rFonts w:eastAsia="Times New Roman" w:cs="Times New Roman"/>
          <w:szCs w:val="24"/>
        </w:rPr>
        <w:t xml:space="preserve"> points of detail as to the tim</w:t>
      </w:r>
      <w:r w:rsidR="4F94D988" w:rsidRPr="064C8778">
        <w:rPr>
          <w:rFonts w:eastAsia="Times New Roman" w:cs="Times New Roman"/>
          <w:szCs w:val="24"/>
        </w:rPr>
        <w:t>e</w:t>
      </w:r>
      <w:r w:rsidRPr="064C8778">
        <w:rPr>
          <w:rFonts w:eastAsia="Times New Roman" w:cs="Times New Roman"/>
          <w:szCs w:val="24"/>
        </w:rPr>
        <w:t xml:space="preserve"> </w:t>
      </w:r>
      <w:r w:rsidR="00EA090C">
        <w:rPr>
          <w:rFonts w:eastAsia="Times New Roman" w:cs="Times New Roman"/>
          <w:szCs w:val="24"/>
        </w:rPr>
        <w:t xml:space="preserve">spent </w:t>
      </w:r>
      <w:r w:rsidRPr="064C8778">
        <w:rPr>
          <w:rFonts w:eastAsia="Times New Roman" w:cs="Times New Roman"/>
          <w:szCs w:val="24"/>
        </w:rPr>
        <w:t>and the hourly rates claimed</w:t>
      </w:r>
      <w:r w:rsidR="631A85D8" w:rsidRPr="064C8778">
        <w:rPr>
          <w:rFonts w:eastAsia="Times New Roman" w:cs="Times New Roman"/>
          <w:szCs w:val="24"/>
        </w:rPr>
        <w:t xml:space="preserve"> by the Defend</w:t>
      </w:r>
      <w:r w:rsidR="4FE231AF" w:rsidRPr="064C8778">
        <w:rPr>
          <w:rFonts w:eastAsia="Times New Roman" w:cs="Times New Roman"/>
          <w:szCs w:val="24"/>
        </w:rPr>
        <w:t>an</w:t>
      </w:r>
      <w:r w:rsidR="631A85D8" w:rsidRPr="064C8778">
        <w:rPr>
          <w:rFonts w:eastAsia="Times New Roman" w:cs="Times New Roman"/>
          <w:szCs w:val="24"/>
        </w:rPr>
        <w:t>t</w:t>
      </w:r>
      <w:r w:rsidRPr="064C8778">
        <w:rPr>
          <w:rFonts w:eastAsia="Times New Roman" w:cs="Times New Roman"/>
          <w:szCs w:val="24"/>
        </w:rPr>
        <w:t xml:space="preserve">.  The </w:t>
      </w:r>
      <w:r w:rsidRPr="064C8778">
        <w:rPr>
          <w:rFonts w:eastAsia="Times New Roman" w:cs="Times New Roman"/>
          <w:szCs w:val="24"/>
        </w:rPr>
        <w:lastRenderedPageBreak/>
        <w:t>Claim</w:t>
      </w:r>
      <w:r w:rsidR="1B072AF2" w:rsidRPr="064C8778">
        <w:rPr>
          <w:rFonts w:eastAsia="Times New Roman" w:cs="Times New Roman"/>
          <w:szCs w:val="24"/>
        </w:rPr>
        <w:t>a</w:t>
      </w:r>
      <w:r w:rsidRPr="064C8778">
        <w:rPr>
          <w:rFonts w:eastAsia="Times New Roman" w:cs="Times New Roman"/>
          <w:szCs w:val="24"/>
        </w:rPr>
        <w:t>nt offered 5 ho</w:t>
      </w:r>
      <w:r w:rsidR="5926DC8F" w:rsidRPr="064C8778">
        <w:rPr>
          <w:rFonts w:eastAsia="Times New Roman" w:cs="Times New Roman"/>
          <w:szCs w:val="24"/>
        </w:rPr>
        <w:t>urs at</w:t>
      </w:r>
      <w:r w:rsidR="2D163B97" w:rsidRPr="064C8778">
        <w:rPr>
          <w:rFonts w:eastAsia="Times New Roman" w:cs="Times New Roman"/>
          <w:szCs w:val="24"/>
        </w:rPr>
        <w:t xml:space="preserve"> </w:t>
      </w:r>
      <w:r w:rsidR="4D539334" w:rsidRPr="064C8778">
        <w:rPr>
          <w:rFonts w:eastAsia="Times New Roman" w:cs="Times New Roman"/>
          <w:szCs w:val="24"/>
        </w:rPr>
        <w:t xml:space="preserve">£111 per hour.  </w:t>
      </w:r>
      <w:r w:rsidR="008166DA">
        <w:rPr>
          <w:rFonts w:eastAsia="Times New Roman" w:cs="Times New Roman"/>
          <w:szCs w:val="24"/>
        </w:rPr>
        <w:t>In its reply, t</w:t>
      </w:r>
      <w:r w:rsidR="00E81429">
        <w:rPr>
          <w:rFonts w:eastAsia="Times New Roman" w:cs="Times New Roman"/>
          <w:szCs w:val="24"/>
        </w:rPr>
        <w:t xml:space="preserve">he </w:t>
      </w:r>
      <w:r w:rsidR="00CF2FB8">
        <w:rPr>
          <w:rFonts w:eastAsia="Times New Roman" w:cs="Times New Roman"/>
          <w:szCs w:val="24"/>
        </w:rPr>
        <w:t>Defendant</w:t>
      </w:r>
      <w:r w:rsidR="00E81429">
        <w:rPr>
          <w:rFonts w:eastAsia="Times New Roman" w:cs="Times New Roman"/>
          <w:szCs w:val="24"/>
        </w:rPr>
        <w:t xml:space="preserve"> conceded 4 </w:t>
      </w:r>
      <w:r w:rsidR="008166DA">
        <w:rPr>
          <w:rFonts w:eastAsia="Times New Roman" w:cs="Times New Roman"/>
          <w:szCs w:val="24"/>
        </w:rPr>
        <w:t xml:space="preserve">of the </w:t>
      </w:r>
      <w:r w:rsidR="00E81429">
        <w:rPr>
          <w:rFonts w:eastAsia="Times New Roman" w:cs="Times New Roman"/>
          <w:szCs w:val="24"/>
        </w:rPr>
        <w:t xml:space="preserve">items in its breakdown, which between </w:t>
      </w:r>
      <w:r w:rsidR="00CF2FB8">
        <w:rPr>
          <w:rFonts w:eastAsia="Times New Roman" w:cs="Times New Roman"/>
          <w:szCs w:val="24"/>
        </w:rPr>
        <w:t>them</w:t>
      </w:r>
      <w:r w:rsidR="00E81429">
        <w:rPr>
          <w:rFonts w:eastAsia="Times New Roman" w:cs="Times New Roman"/>
          <w:szCs w:val="24"/>
        </w:rPr>
        <w:t xml:space="preserve"> account</w:t>
      </w:r>
      <w:r w:rsidR="008166DA">
        <w:rPr>
          <w:rFonts w:eastAsia="Times New Roman" w:cs="Times New Roman"/>
          <w:szCs w:val="24"/>
        </w:rPr>
        <w:t>ed</w:t>
      </w:r>
      <w:r w:rsidR="00E81429">
        <w:rPr>
          <w:rFonts w:eastAsia="Times New Roman" w:cs="Times New Roman"/>
          <w:szCs w:val="24"/>
        </w:rPr>
        <w:t xml:space="preserve"> for less than 1 hour’s work</w:t>
      </w:r>
      <w:r w:rsidR="00B62E33">
        <w:rPr>
          <w:rFonts w:eastAsia="Times New Roman" w:cs="Times New Roman"/>
          <w:szCs w:val="24"/>
        </w:rPr>
        <w:t>, but otherwise maintained its position that the costs claimed were reasonable.</w:t>
      </w:r>
    </w:p>
    <w:p w14:paraId="639FEAA0" w14:textId="51C37673" w:rsidR="469A5AFC" w:rsidRDefault="4D539334" w:rsidP="00AC6944">
      <w:pPr>
        <w:pStyle w:val="ListParagraph"/>
        <w:numPr>
          <w:ilvl w:val="0"/>
          <w:numId w:val="15"/>
        </w:numPr>
        <w:spacing w:after="240" w:line="240" w:lineRule="auto"/>
        <w:contextualSpacing w:val="0"/>
        <w:jc w:val="both"/>
        <w:rPr>
          <w:szCs w:val="24"/>
        </w:rPr>
      </w:pPr>
      <w:r w:rsidRPr="064C8778">
        <w:rPr>
          <w:rFonts w:eastAsia="Times New Roman" w:cs="Times New Roman"/>
          <w:szCs w:val="24"/>
        </w:rPr>
        <w:t xml:space="preserve">The </w:t>
      </w:r>
      <w:r w:rsidR="008166DA">
        <w:rPr>
          <w:rFonts w:eastAsia="Times New Roman" w:cs="Times New Roman"/>
          <w:szCs w:val="24"/>
        </w:rPr>
        <w:t>d</w:t>
      </w:r>
      <w:r w:rsidR="00E57DAB">
        <w:rPr>
          <w:rFonts w:eastAsia="Times New Roman" w:cs="Times New Roman"/>
          <w:szCs w:val="24"/>
        </w:rPr>
        <w:t>istrict</w:t>
      </w:r>
      <w:r w:rsidRPr="064C8778">
        <w:rPr>
          <w:rFonts w:eastAsia="Times New Roman" w:cs="Times New Roman"/>
          <w:szCs w:val="24"/>
        </w:rPr>
        <w:t xml:space="preserve"> </w:t>
      </w:r>
      <w:r w:rsidR="008166DA">
        <w:rPr>
          <w:rFonts w:eastAsia="Times New Roman" w:cs="Times New Roman"/>
          <w:szCs w:val="24"/>
        </w:rPr>
        <w:t>j</w:t>
      </w:r>
      <w:r w:rsidR="00E57DAB">
        <w:rPr>
          <w:rFonts w:eastAsia="Times New Roman" w:cs="Times New Roman"/>
          <w:szCs w:val="24"/>
        </w:rPr>
        <w:t>udge</w:t>
      </w:r>
      <w:r w:rsidR="0B89BA68" w:rsidRPr="064C8778">
        <w:rPr>
          <w:rFonts w:eastAsia="Times New Roman" w:cs="Times New Roman"/>
          <w:szCs w:val="24"/>
        </w:rPr>
        <w:t xml:space="preserve"> </w:t>
      </w:r>
      <w:r w:rsidRPr="064C8778">
        <w:rPr>
          <w:rFonts w:eastAsia="Times New Roman" w:cs="Times New Roman"/>
          <w:szCs w:val="24"/>
        </w:rPr>
        <w:t>s</w:t>
      </w:r>
      <w:r w:rsidR="53BE1BDF" w:rsidRPr="064C8778">
        <w:rPr>
          <w:rFonts w:eastAsia="Times New Roman" w:cs="Times New Roman"/>
          <w:szCs w:val="24"/>
        </w:rPr>
        <w:t>ai</w:t>
      </w:r>
      <w:r w:rsidRPr="064C8778">
        <w:rPr>
          <w:rFonts w:eastAsia="Times New Roman" w:cs="Times New Roman"/>
          <w:szCs w:val="24"/>
        </w:rPr>
        <w:t>d that:</w:t>
      </w:r>
    </w:p>
    <w:p w14:paraId="38AE5A2C" w14:textId="63FEFC96" w:rsidR="4D539334" w:rsidRDefault="4D539334" w:rsidP="00AC6944">
      <w:pPr>
        <w:spacing w:after="240" w:line="240" w:lineRule="auto"/>
        <w:ind w:left="1440"/>
        <w:jc w:val="both"/>
        <w:rPr>
          <w:rFonts w:eastAsia="Times New Roman" w:cs="Times New Roman"/>
          <w:szCs w:val="24"/>
        </w:rPr>
      </w:pPr>
      <w:r w:rsidRPr="064C8778">
        <w:rPr>
          <w:rFonts w:eastAsia="Times New Roman" w:cs="Times New Roman"/>
          <w:szCs w:val="24"/>
        </w:rPr>
        <w:t>“Havin</w:t>
      </w:r>
      <w:r w:rsidR="2C6AEAE7" w:rsidRPr="064C8778">
        <w:rPr>
          <w:rFonts w:eastAsia="Times New Roman" w:cs="Times New Roman"/>
          <w:szCs w:val="24"/>
        </w:rPr>
        <w:t>g</w:t>
      </w:r>
      <w:r w:rsidRPr="064C8778">
        <w:rPr>
          <w:rFonts w:eastAsia="Times New Roman" w:cs="Times New Roman"/>
          <w:szCs w:val="24"/>
        </w:rPr>
        <w:t xml:space="preserve"> cons</w:t>
      </w:r>
      <w:r w:rsidR="36A9E39D" w:rsidRPr="064C8778">
        <w:rPr>
          <w:rFonts w:eastAsia="Times New Roman" w:cs="Times New Roman"/>
          <w:szCs w:val="24"/>
        </w:rPr>
        <w:t>id</w:t>
      </w:r>
      <w:r w:rsidRPr="064C8778">
        <w:rPr>
          <w:rFonts w:eastAsia="Times New Roman" w:cs="Times New Roman"/>
          <w:szCs w:val="24"/>
        </w:rPr>
        <w:t>ered the Bill &amp; furth</w:t>
      </w:r>
      <w:r w:rsidR="704266EF" w:rsidRPr="064C8778">
        <w:rPr>
          <w:rFonts w:eastAsia="Times New Roman" w:cs="Times New Roman"/>
          <w:szCs w:val="24"/>
        </w:rPr>
        <w:t>e</w:t>
      </w:r>
      <w:r w:rsidRPr="064C8778">
        <w:rPr>
          <w:rFonts w:eastAsia="Times New Roman" w:cs="Times New Roman"/>
          <w:szCs w:val="24"/>
        </w:rPr>
        <w:t>r comments 9 hrs x £120 would seem reasonable.”</w:t>
      </w:r>
    </w:p>
    <w:p w14:paraId="17B37012" w14:textId="7C4797AD" w:rsidR="00B07919" w:rsidRPr="00B07919" w:rsidRDefault="00B07919" w:rsidP="00AC6944">
      <w:pPr>
        <w:pStyle w:val="ListParagraph"/>
        <w:spacing w:after="240" w:line="240" w:lineRule="auto"/>
        <w:contextualSpacing w:val="0"/>
        <w:jc w:val="both"/>
        <w:rPr>
          <w:i/>
          <w:iCs/>
          <w:szCs w:val="24"/>
        </w:rPr>
      </w:pPr>
      <w:r>
        <w:rPr>
          <w:i/>
          <w:iCs/>
          <w:szCs w:val="24"/>
        </w:rPr>
        <w:t xml:space="preserve">(2)(f)(v) The “On Paper” Assessment: Point </w:t>
      </w:r>
      <w:r w:rsidR="008166DA">
        <w:rPr>
          <w:i/>
          <w:iCs/>
          <w:szCs w:val="24"/>
        </w:rPr>
        <w:t>4</w:t>
      </w:r>
    </w:p>
    <w:p w14:paraId="7E6F185E" w14:textId="3834CBE9" w:rsidR="4D539334" w:rsidRPr="00057305" w:rsidRDefault="4D539334" w:rsidP="00AC6944">
      <w:pPr>
        <w:pStyle w:val="ListParagraph"/>
        <w:numPr>
          <w:ilvl w:val="0"/>
          <w:numId w:val="15"/>
        </w:numPr>
        <w:spacing w:after="240" w:line="240" w:lineRule="auto"/>
        <w:contextualSpacing w:val="0"/>
        <w:jc w:val="both"/>
        <w:rPr>
          <w:szCs w:val="24"/>
        </w:rPr>
      </w:pPr>
      <w:r w:rsidRPr="064C8778">
        <w:rPr>
          <w:rFonts w:eastAsia="Times New Roman" w:cs="Times New Roman"/>
          <w:szCs w:val="24"/>
        </w:rPr>
        <w:t>The fi</w:t>
      </w:r>
      <w:r w:rsidR="0D5F50B8" w:rsidRPr="064C8778">
        <w:rPr>
          <w:rFonts w:eastAsia="Times New Roman" w:cs="Times New Roman"/>
          <w:szCs w:val="24"/>
        </w:rPr>
        <w:t>na</w:t>
      </w:r>
      <w:r w:rsidRPr="064C8778">
        <w:rPr>
          <w:rFonts w:eastAsia="Times New Roman" w:cs="Times New Roman"/>
          <w:szCs w:val="24"/>
        </w:rPr>
        <w:t>l point of dispute, labelled “Point 4”, con</w:t>
      </w:r>
      <w:r w:rsidR="3F3930D8" w:rsidRPr="064C8778">
        <w:rPr>
          <w:rFonts w:eastAsia="Times New Roman" w:cs="Times New Roman"/>
          <w:szCs w:val="24"/>
        </w:rPr>
        <w:t>c</w:t>
      </w:r>
      <w:r w:rsidRPr="064C8778">
        <w:rPr>
          <w:rFonts w:eastAsia="Times New Roman" w:cs="Times New Roman"/>
          <w:szCs w:val="24"/>
        </w:rPr>
        <w:t>ern</w:t>
      </w:r>
      <w:r w:rsidR="548CE71C" w:rsidRPr="064C8778">
        <w:rPr>
          <w:rFonts w:eastAsia="Times New Roman" w:cs="Times New Roman"/>
          <w:szCs w:val="24"/>
        </w:rPr>
        <w:t>e</w:t>
      </w:r>
      <w:r w:rsidRPr="064C8778">
        <w:rPr>
          <w:rFonts w:eastAsia="Times New Roman" w:cs="Times New Roman"/>
          <w:szCs w:val="24"/>
        </w:rPr>
        <w:t>d the level o</w:t>
      </w:r>
      <w:r w:rsidR="5EF8EF13" w:rsidRPr="064C8778">
        <w:rPr>
          <w:rFonts w:eastAsia="Times New Roman" w:cs="Times New Roman"/>
          <w:szCs w:val="24"/>
        </w:rPr>
        <w:t>f</w:t>
      </w:r>
      <w:r w:rsidRPr="064C8778">
        <w:rPr>
          <w:rFonts w:eastAsia="Times New Roman" w:cs="Times New Roman"/>
          <w:szCs w:val="24"/>
        </w:rPr>
        <w:t xml:space="preserve"> the success fee.  The Claim</w:t>
      </w:r>
      <w:r w:rsidR="0A204125" w:rsidRPr="064C8778">
        <w:rPr>
          <w:rFonts w:eastAsia="Times New Roman" w:cs="Times New Roman"/>
          <w:szCs w:val="24"/>
        </w:rPr>
        <w:t>a</w:t>
      </w:r>
      <w:r w:rsidRPr="064C8778">
        <w:rPr>
          <w:rFonts w:eastAsia="Times New Roman" w:cs="Times New Roman"/>
          <w:szCs w:val="24"/>
        </w:rPr>
        <w:t>nt contended that it should have bee</w:t>
      </w:r>
      <w:r w:rsidR="06856E7A" w:rsidRPr="064C8778">
        <w:rPr>
          <w:rFonts w:eastAsia="Times New Roman" w:cs="Times New Roman"/>
          <w:szCs w:val="24"/>
        </w:rPr>
        <w:t>n</w:t>
      </w:r>
      <w:r w:rsidRPr="064C8778">
        <w:rPr>
          <w:rFonts w:eastAsia="Times New Roman" w:cs="Times New Roman"/>
          <w:szCs w:val="24"/>
        </w:rPr>
        <w:t xml:space="preserve"> 15%</w:t>
      </w:r>
      <w:r w:rsidR="00B62E33">
        <w:rPr>
          <w:rFonts w:eastAsia="Times New Roman" w:cs="Times New Roman"/>
          <w:szCs w:val="24"/>
        </w:rPr>
        <w:t>,</w:t>
      </w:r>
      <w:r w:rsidRPr="064C8778">
        <w:rPr>
          <w:rFonts w:eastAsia="Times New Roman" w:cs="Times New Roman"/>
          <w:szCs w:val="24"/>
        </w:rPr>
        <w:t xml:space="preserve"> rath</w:t>
      </w:r>
      <w:r w:rsidR="725BFFEC" w:rsidRPr="064C8778">
        <w:rPr>
          <w:rFonts w:eastAsia="Times New Roman" w:cs="Times New Roman"/>
          <w:szCs w:val="24"/>
        </w:rPr>
        <w:t>e</w:t>
      </w:r>
      <w:r w:rsidRPr="064C8778">
        <w:rPr>
          <w:rFonts w:eastAsia="Times New Roman" w:cs="Times New Roman"/>
          <w:szCs w:val="24"/>
        </w:rPr>
        <w:t xml:space="preserve">r than 100%, as in </w:t>
      </w:r>
      <w:r w:rsidRPr="064C8778">
        <w:rPr>
          <w:rFonts w:eastAsia="Times New Roman" w:cs="Times New Roman"/>
          <w:i/>
          <w:iCs/>
          <w:szCs w:val="24"/>
        </w:rPr>
        <w:t xml:space="preserve">Herbert v HH Law Ltd </w:t>
      </w:r>
      <w:r w:rsidRPr="064C8778">
        <w:rPr>
          <w:rFonts w:eastAsia="Times New Roman" w:cs="Times New Roman"/>
          <w:szCs w:val="24"/>
        </w:rPr>
        <w:t>[2018] EWHC 5</w:t>
      </w:r>
      <w:r w:rsidR="27B00866" w:rsidRPr="064C8778">
        <w:rPr>
          <w:rFonts w:eastAsia="Times New Roman" w:cs="Times New Roman"/>
          <w:szCs w:val="24"/>
        </w:rPr>
        <w:t xml:space="preserve">80 (QB).  The </w:t>
      </w:r>
      <w:r w:rsidR="008166DA">
        <w:rPr>
          <w:rFonts w:eastAsia="Times New Roman" w:cs="Times New Roman"/>
          <w:szCs w:val="24"/>
        </w:rPr>
        <w:t>d</w:t>
      </w:r>
      <w:r w:rsidR="00E57DAB">
        <w:rPr>
          <w:rFonts w:eastAsia="Times New Roman" w:cs="Times New Roman"/>
          <w:szCs w:val="24"/>
        </w:rPr>
        <w:t>istrict</w:t>
      </w:r>
      <w:r w:rsidR="27B00866" w:rsidRPr="064C8778">
        <w:rPr>
          <w:rFonts w:eastAsia="Times New Roman" w:cs="Times New Roman"/>
          <w:szCs w:val="24"/>
        </w:rPr>
        <w:t xml:space="preserve"> </w:t>
      </w:r>
      <w:r w:rsidR="008166DA">
        <w:rPr>
          <w:rFonts w:eastAsia="Times New Roman" w:cs="Times New Roman"/>
          <w:szCs w:val="24"/>
        </w:rPr>
        <w:t>j</w:t>
      </w:r>
      <w:r w:rsidR="00E57DAB">
        <w:rPr>
          <w:rFonts w:eastAsia="Times New Roman" w:cs="Times New Roman"/>
          <w:szCs w:val="24"/>
        </w:rPr>
        <w:t>udge</w:t>
      </w:r>
      <w:r w:rsidR="27B00866" w:rsidRPr="064C8778">
        <w:rPr>
          <w:rFonts w:eastAsia="Times New Roman" w:cs="Times New Roman"/>
          <w:szCs w:val="24"/>
        </w:rPr>
        <w:t xml:space="preserve"> agreed.  That decision has not b</w:t>
      </w:r>
      <w:r w:rsidR="5F183BED" w:rsidRPr="064C8778">
        <w:rPr>
          <w:rFonts w:eastAsia="Times New Roman" w:cs="Times New Roman"/>
          <w:szCs w:val="24"/>
        </w:rPr>
        <w:t>e</w:t>
      </w:r>
      <w:r w:rsidR="27B00866" w:rsidRPr="064C8778">
        <w:rPr>
          <w:rFonts w:eastAsia="Times New Roman" w:cs="Times New Roman"/>
          <w:szCs w:val="24"/>
        </w:rPr>
        <w:t>en challeng</w:t>
      </w:r>
      <w:r w:rsidR="1BCE67CA" w:rsidRPr="064C8778">
        <w:rPr>
          <w:rFonts w:eastAsia="Times New Roman" w:cs="Times New Roman"/>
          <w:szCs w:val="24"/>
        </w:rPr>
        <w:t>e</w:t>
      </w:r>
      <w:r w:rsidR="27B00866" w:rsidRPr="064C8778">
        <w:rPr>
          <w:rFonts w:eastAsia="Times New Roman" w:cs="Times New Roman"/>
          <w:szCs w:val="24"/>
        </w:rPr>
        <w:t xml:space="preserve">d </w:t>
      </w:r>
      <w:r w:rsidR="00EE0ED9">
        <w:rPr>
          <w:rFonts w:eastAsia="Times New Roman" w:cs="Times New Roman"/>
          <w:szCs w:val="24"/>
        </w:rPr>
        <w:t>on this appeal</w:t>
      </w:r>
      <w:r w:rsidR="27B00866" w:rsidRPr="064C8778">
        <w:rPr>
          <w:rFonts w:eastAsia="Times New Roman" w:cs="Times New Roman"/>
          <w:szCs w:val="24"/>
        </w:rPr>
        <w:t>.</w:t>
      </w:r>
    </w:p>
    <w:p w14:paraId="2DD79891" w14:textId="0CD17FFB" w:rsidR="0028226B" w:rsidRPr="0028226B" w:rsidRDefault="0028226B" w:rsidP="00AC6944">
      <w:pPr>
        <w:pStyle w:val="ListParagraph"/>
        <w:spacing w:after="240" w:line="240" w:lineRule="auto"/>
        <w:contextualSpacing w:val="0"/>
        <w:jc w:val="both"/>
        <w:rPr>
          <w:b/>
          <w:bCs/>
          <w:i/>
          <w:iCs/>
          <w:szCs w:val="24"/>
        </w:rPr>
      </w:pPr>
      <w:r>
        <w:rPr>
          <w:b/>
          <w:bCs/>
          <w:i/>
          <w:iCs/>
          <w:szCs w:val="24"/>
        </w:rPr>
        <w:t>(2)(g) The Review of the “On Paper” Assessment of the Defendant’s Bill</w:t>
      </w:r>
    </w:p>
    <w:p w14:paraId="77D31456" w14:textId="34B73BBC" w:rsidR="00941394" w:rsidRPr="006E231E" w:rsidRDefault="3D77B3BA" w:rsidP="00AC6944">
      <w:pPr>
        <w:pStyle w:val="ListParagraph"/>
        <w:numPr>
          <w:ilvl w:val="0"/>
          <w:numId w:val="15"/>
        </w:numPr>
        <w:spacing w:after="240" w:line="240" w:lineRule="auto"/>
        <w:contextualSpacing w:val="0"/>
        <w:jc w:val="both"/>
        <w:rPr>
          <w:szCs w:val="24"/>
        </w:rPr>
      </w:pPr>
      <w:r w:rsidRPr="064C8778">
        <w:rPr>
          <w:rFonts w:eastAsia="Times New Roman" w:cs="Times New Roman"/>
          <w:szCs w:val="24"/>
        </w:rPr>
        <w:t>On 24 July 2019 t</w:t>
      </w:r>
      <w:r w:rsidR="690B2334" w:rsidRPr="064C8778">
        <w:rPr>
          <w:rFonts w:eastAsia="Times New Roman" w:cs="Times New Roman"/>
          <w:szCs w:val="24"/>
        </w:rPr>
        <w:t>he Defen</w:t>
      </w:r>
      <w:r w:rsidR="79281457" w:rsidRPr="064C8778">
        <w:rPr>
          <w:rFonts w:eastAsia="Times New Roman" w:cs="Times New Roman"/>
          <w:szCs w:val="24"/>
        </w:rPr>
        <w:t>d</w:t>
      </w:r>
      <w:r w:rsidR="690B2334" w:rsidRPr="064C8778">
        <w:rPr>
          <w:rFonts w:eastAsia="Times New Roman" w:cs="Times New Roman"/>
          <w:szCs w:val="24"/>
        </w:rPr>
        <w:t>ant applied fo</w:t>
      </w:r>
      <w:r w:rsidR="6446F762" w:rsidRPr="064C8778">
        <w:rPr>
          <w:rFonts w:eastAsia="Times New Roman" w:cs="Times New Roman"/>
          <w:szCs w:val="24"/>
        </w:rPr>
        <w:t>r</w:t>
      </w:r>
      <w:r w:rsidR="690B2334" w:rsidRPr="064C8778">
        <w:rPr>
          <w:rFonts w:eastAsia="Times New Roman" w:cs="Times New Roman"/>
          <w:szCs w:val="24"/>
        </w:rPr>
        <w:t xml:space="preserve"> </w:t>
      </w:r>
      <w:r w:rsidR="0376B16A" w:rsidRPr="064C8778">
        <w:rPr>
          <w:rFonts w:eastAsia="Times New Roman" w:cs="Times New Roman"/>
          <w:szCs w:val="24"/>
        </w:rPr>
        <w:t xml:space="preserve">the review </w:t>
      </w:r>
      <w:r w:rsidR="00505A03" w:rsidRPr="064C8778">
        <w:rPr>
          <w:rFonts w:eastAsia="Times New Roman" w:cs="Times New Roman"/>
          <w:szCs w:val="24"/>
        </w:rPr>
        <w:t xml:space="preserve">at an oral hearing </w:t>
      </w:r>
      <w:r w:rsidR="0376B16A" w:rsidRPr="064C8778">
        <w:rPr>
          <w:rFonts w:eastAsia="Times New Roman" w:cs="Times New Roman"/>
          <w:szCs w:val="24"/>
        </w:rPr>
        <w:t xml:space="preserve">of the “on paper” assessment </w:t>
      </w:r>
      <w:r w:rsidR="00505A03">
        <w:rPr>
          <w:rFonts w:eastAsia="Times New Roman" w:cs="Times New Roman"/>
          <w:szCs w:val="24"/>
        </w:rPr>
        <w:t>of its bill</w:t>
      </w:r>
      <w:r w:rsidR="18840497" w:rsidRPr="064C8778">
        <w:rPr>
          <w:rFonts w:eastAsia="Times New Roman" w:cs="Times New Roman"/>
          <w:szCs w:val="24"/>
        </w:rPr>
        <w:t xml:space="preserve">.  </w:t>
      </w:r>
      <w:r w:rsidR="008166DA">
        <w:rPr>
          <w:rFonts w:eastAsia="Times New Roman" w:cs="Times New Roman"/>
          <w:szCs w:val="24"/>
        </w:rPr>
        <w:t>T</w:t>
      </w:r>
      <w:r w:rsidR="00941394">
        <w:rPr>
          <w:rFonts w:eastAsia="Times New Roman" w:cs="Times New Roman"/>
          <w:szCs w:val="24"/>
        </w:rPr>
        <w:t xml:space="preserve">he </w:t>
      </w:r>
      <w:r w:rsidR="00CF2FB8">
        <w:rPr>
          <w:rFonts w:eastAsia="Times New Roman" w:cs="Times New Roman"/>
          <w:szCs w:val="24"/>
        </w:rPr>
        <w:t>Defendant</w:t>
      </w:r>
      <w:r w:rsidR="00941394">
        <w:rPr>
          <w:rFonts w:eastAsia="Times New Roman" w:cs="Times New Roman"/>
          <w:szCs w:val="24"/>
        </w:rPr>
        <w:t xml:space="preserve"> sought to challenge the </w:t>
      </w:r>
      <w:r w:rsidR="008166DA">
        <w:rPr>
          <w:rFonts w:eastAsia="Times New Roman" w:cs="Times New Roman"/>
          <w:szCs w:val="24"/>
        </w:rPr>
        <w:t>d</w:t>
      </w:r>
      <w:r w:rsidR="00E57DAB">
        <w:rPr>
          <w:rFonts w:eastAsia="Times New Roman" w:cs="Times New Roman"/>
          <w:szCs w:val="24"/>
        </w:rPr>
        <w:t>istrict</w:t>
      </w:r>
      <w:r w:rsidR="00941394">
        <w:rPr>
          <w:rFonts w:eastAsia="Times New Roman" w:cs="Times New Roman"/>
          <w:szCs w:val="24"/>
        </w:rPr>
        <w:t xml:space="preserve"> </w:t>
      </w:r>
      <w:r w:rsidR="008166DA">
        <w:rPr>
          <w:rFonts w:eastAsia="Times New Roman" w:cs="Times New Roman"/>
          <w:szCs w:val="24"/>
        </w:rPr>
        <w:t>j</w:t>
      </w:r>
      <w:r w:rsidR="00E57DAB">
        <w:rPr>
          <w:rFonts w:eastAsia="Times New Roman" w:cs="Times New Roman"/>
          <w:szCs w:val="24"/>
        </w:rPr>
        <w:t>udge</w:t>
      </w:r>
      <w:r w:rsidR="00941394">
        <w:rPr>
          <w:rFonts w:eastAsia="Times New Roman" w:cs="Times New Roman"/>
          <w:szCs w:val="24"/>
        </w:rPr>
        <w:t>’s decision</w:t>
      </w:r>
      <w:r w:rsidR="008166DA">
        <w:rPr>
          <w:rFonts w:eastAsia="Times New Roman" w:cs="Times New Roman"/>
          <w:szCs w:val="24"/>
        </w:rPr>
        <w:t>s</w:t>
      </w:r>
      <w:r w:rsidR="00941394">
        <w:rPr>
          <w:rFonts w:eastAsia="Times New Roman" w:cs="Times New Roman"/>
          <w:szCs w:val="24"/>
        </w:rPr>
        <w:t xml:space="preserve"> on</w:t>
      </w:r>
      <w:r w:rsidR="006E231E">
        <w:rPr>
          <w:rFonts w:eastAsia="Times New Roman" w:cs="Times New Roman"/>
          <w:szCs w:val="24"/>
        </w:rPr>
        <w:t xml:space="preserve"> </w:t>
      </w:r>
      <w:r w:rsidR="00941394" w:rsidRPr="006E231E">
        <w:rPr>
          <w:rFonts w:eastAsia="Times New Roman" w:cs="Times New Roman"/>
          <w:szCs w:val="24"/>
        </w:rPr>
        <w:t>the General Point</w:t>
      </w:r>
      <w:r w:rsidR="006E231E">
        <w:rPr>
          <w:rFonts w:eastAsia="Times New Roman" w:cs="Times New Roman"/>
          <w:szCs w:val="24"/>
        </w:rPr>
        <w:t xml:space="preserve">, </w:t>
      </w:r>
      <w:proofErr w:type="gramStart"/>
      <w:r w:rsidR="00941394" w:rsidRPr="006E231E">
        <w:rPr>
          <w:rFonts w:eastAsia="Times New Roman" w:cs="Times New Roman"/>
          <w:szCs w:val="24"/>
        </w:rPr>
        <w:t>Point</w:t>
      </w:r>
      <w:proofErr w:type="gramEnd"/>
      <w:r w:rsidR="00941394" w:rsidRPr="006E231E">
        <w:rPr>
          <w:rFonts w:eastAsia="Times New Roman" w:cs="Times New Roman"/>
          <w:szCs w:val="24"/>
        </w:rPr>
        <w:t xml:space="preserve"> 2</w:t>
      </w:r>
      <w:r w:rsidR="006E231E">
        <w:rPr>
          <w:rFonts w:eastAsia="Times New Roman" w:cs="Times New Roman"/>
          <w:szCs w:val="24"/>
        </w:rPr>
        <w:t xml:space="preserve">, </w:t>
      </w:r>
      <w:r w:rsidR="00941394" w:rsidRPr="006E231E">
        <w:rPr>
          <w:rFonts w:eastAsia="Times New Roman" w:cs="Times New Roman"/>
          <w:szCs w:val="24"/>
        </w:rPr>
        <w:t>Point 3, but only in relation to the hourly rate, and not the time allowed</w:t>
      </w:r>
      <w:r w:rsidR="006E231E">
        <w:rPr>
          <w:rFonts w:eastAsia="Times New Roman" w:cs="Times New Roman"/>
          <w:szCs w:val="24"/>
        </w:rPr>
        <w:t>,</w:t>
      </w:r>
      <w:r w:rsidR="00941394" w:rsidRPr="006E231E">
        <w:rPr>
          <w:rFonts w:eastAsia="Times New Roman" w:cs="Times New Roman"/>
          <w:szCs w:val="24"/>
        </w:rPr>
        <w:t xml:space="preserve"> and Point 4. </w:t>
      </w:r>
    </w:p>
    <w:p w14:paraId="488C5EDF" w14:textId="74F34DF1" w:rsidR="00941394" w:rsidRDefault="00941394" w:rsidP="00AC6944">
      <w:pPr>
        <w:pStyle w:val="ListParagraph"/>
        <w:numPr>
          <w:ilvl w:val="0"/>
          <w:numId w:val="15"/>
        </w:numPr>
        <w:spacing w:after="240" w:line="240" w:lineRule="auto"/>
        <w:contextualSpacing w:val="0"/>
        <w:jc w:val="both"/>
        <w:rPr>
          <w:szCs w:val="24"/>
        </w:rPr>
      </w:pPr>
      <w:r w:rsidRPr="00941394">
        <w:rPr>
          <w:szCs w:val="24"/>
        </w:rPr>
        <w:t>The Claimant</w:t>
      </w:r>
      <w:r>
        <w:rPr>
          <w:szCs w:val="24"/>
        </w:rPr>
        <w:t xml:space="preserve">’s position was set out in its </w:t>
      </w:r>
      <w:r w:rsidR="00CF2FB8">
        <w:rPr>
          <w:szCs w:val="24"/>
        </w:rPr>
        <w:t>skeleton</w:t>
      </w:r>
      <w:r>
        <w:rPr>
          <w:szCs w:val="24"/>
        </w:rPr>
        <w:t xml:space="preserve"> argument dated 20 September 2019:</w:t>
      </w:r>
    </w:p>
    <w:p w14:paraId="55529B7F" w14:textId="26EC7861" w:rsidR="00941394" w:rsidRDefault="00941394" w:rsidP="00AC6944">
      <w:pPr>
        <w:pStyle w:val="ListParagraph"/>
        <w:numPr>
          <w:ilvl w:val="1"/>
          <w:numId w:val="15"/>
        </w:numPr>
        <w:spacing w:after="240" w:line="240" w:lineRule="auto"/>
        <w:contextualSpacing w:val="0"/>
        <w:jc w:val="both"/>
        <w:rPr>
          <w:szCs w:val="24"/>
        </w:rPr>
      </w:pPr>
      <w:r>
        <w:rPr>
          <w:szCs w:val="24"/>
        </w:rPr>
        <w:t xml:space="preserve">The </w:t>
      </w:r>
      <w:r w:rsidR="00CF2FB8">
        <w:rPr>
          <w:szCs w:val="24"/>
        </w:rPr>
        <w:t>Claimant</w:t>
      </w:r>
      <w:r>
        <w:rPr>
          <w:szCs w:val="24"/>
        </w:rPr>
        <w:t xml:space="preserve"> supported the </w:t>
      </w:r>
      <w:r w:rsidR="000550DC">
        <w:rPr>
          <w:szCs w:val="24"/>
        </w:rPr>
        <w:t>d</w:t>
      </w:r>
      <w:r w:rsidR="00E57DAB">
        <w:rPr>
          <w:szCs w:val="24"/>
        </w:rPr>
        <w:t>istrict</w:t>
      </w:r>
      <w:r>
        <w:rPr>
          <w:szCs w:val="24"/>
        </w:rPr>
        <w:t xml:space="preserve"> </w:t>
      </w:r>
      <w:r w:rsidR="000550DC">
        <w:rPr>
          <w:szCs w:val="24"/>
        </w:rPr>
        <w:t>j</w:t>
      </w:r>
      <w:r w:rsidR="00E57DAB">
        <w:rPr>
          <w:szCs w:val="24"/>
        </w:rPr>
        <w:t>udge</w:t>
      </w:r>
      <w:r>
        <w:rPr>
          <w:szCs w:val="24"/>
        </w:rPr>
        <w:t>’s decision on the General Point.</w:t>
      </w:r>
    </w:p>
    <w:p w14:paraId="157AA8DE" w14:textId="05847FB2" w:rsidR="00941394" w:rsidRDefault="00941394" w:rsidP="00AC6944">
      <w:pPr>
        <w:pStyle w:val="ListParagraph"/>
        <w:numPr>
          <w:ilvl w:val="1"/>
          <w:numId w:val="15"/>
        </w:numPr>
        <w:spacing w:after="240" w:line="240" w:lineRule="auto"/>
        <w:contextualSpacing w:val="0"/>
        <w:jc w:val="both"/>
        <w:rPr>
          <w:szCs w:val="24"/>
        </w:rPr>
      </w:pPr>
      <w:r>
        <w:rPr>
          <w:szCs w:val="24"/>
        </w:rPr>
        <w:t xml:space="preserve">The </w:t>
      </w:r>
      <w:r w:rsidR="00CF2FB8">
        <w:rPr>
          <w:szCs w:val="24"/>
        </w:rPr>
        <w:t>Claimant</w:t>
      </w:r>
      <w:r>
        <w:rPr>
          <w:szCs w:val="24"/>
        </w:rPr>
        <w:t xml:space="preserve"> did </w:t>
      </w:r>
      <w:r w:rsidR="00CF2FB8">
        <w:rPr>
          <w:szCs w:val="24"/>
        </w:rPr>
        <w:t>not</w:t>
      </w:r>
      <w:r>
        <w:rPr>
          <w:szCs w:val="24"/>
        </w:rPr>
        <w:t xml:space="preserve"> challenge the </w:t>
      </w:r>
      <w:r w:rsidR="000550DC">
        <w:rPr>
          <w:szCs w:val="24"/>
        </w:rPr>
        <w:t>d</w:t>
      </w:r>
      <w:r w:rsidR="00E57DAB">
        <w:rPr>
          <w:szCs w:val="24"/>
        </w:rPr>
        <w:t>istrict</w:t>
      </w:r>
      <w:r>
        <w:rPr>
          <w:szCs w:val="24"/>
        </w:rPr>
        <w:t xml:space="preserve"> </w:t>
      </w:r>
      <w:r w:rsidR="000550DC">
        <w:rPr>
          <w:szCs w:val="24"/>
        </w:rPr>
        <w:t>j</w:t>
      </w:r>
      <w:r w:rsidR="00E57DAB">
        <w:rPr>
          <w:szCs w:val="24"/>
        </w:rPr>
        <w:t>udge</w:t>
      </w:r>
      <w:r>
        <w:rPr>
          <w:szCs w:val="24"/>
        </w:rPr>
        <w:t>’s decision on Point 1.</w:t>
      </w:r>
    </w:p>
    <w:p w14:paraId="52F7432B" w14:textId="4E3C0C80" w:rsidR="00941394" w:rsidRPr="00941394" w:rsidRDefault="00941394" w:rsidP="00AC6944">
      <w:pPr>
        <w:pStyle w:val="ListParagraph"/>
        <w:numPr>
          <w:ilvl w:val="1"/>
          <w:numId w:val="15"/>
        </w:numPr>
        <w:spacing w:after="240" w:line="240" w:lineRule="auto"/>
        <w:contextualSpacing w:val="0"/>
        <w:jc w:val="both"/>
        <w:rPr>
          <w:szCs w:val="24"/>
        </w:rPr>
      </w:pPr>
      <w:r>
        <w:rPr>
          <w:szCs w:val="24"/>
        </w:rPr>
        <w:t xml:space="preserve">The </w:t>
      </w:r>
      <w:r w:rsidR="00CF2FB8">
        <w:rPr>
          <w:szCs w:val="24"/>
        </w:rPr>
        <w:t>Claimant</w:t>
      </w:r>
      <w:r>
        <w:rPr>
          <w:szCs w:val="24"/>
        </w:rPr>
        <w:t xml:space="preserve"> supported the </w:t>
      </w:r>
      <w:r w:rsidR="000550DC">
        <w:rPr>
          <w:szCs w:val="24"/>
        </w:rPr>
        <w:t>d</w:t>
      </w:r>
      <w:r w:rsidR="00E57DAB">
        <w:rPr>
          <w:szCs w:val="24"/>
        </w:rPr>
        <w:t>istrict</w:t>
      </w:r>
      <w:r>
        <w:rPr>
          <w:szCs w:val="24"/>
        </w:rPr>
        <w:t xml:space="preserve"> </w:t>
      </w:r>
      <w:r w:rsidR="000550DC">
        <w:rPr>
          <w:szCs w:val="24"/>
        </w:rPr>
        <w:t>j</w:t>
      </w:r>
      <w:r w:rsidR="00E57DAB">
        <w:rPr>
          <w:szCs w:val="24"/>
        </w:rPr>
        <w:t>udge</w:t>
      </w:r>
      <w:r>
        <w:rPr>
          <w:szCs w:val="24"/>
        </w:rPr>
        <w:t xml:space="preserve">’s decision on Point 2, but </w:t>
      </w:r>
      <w:r w:rsidR="00CF2FB8">
        <w:rPr>
          <w:szCs w:val="24"/>
        </w:rPr>
        <w:t>added</w:t>
      </w:r>
      <w:r>
        <w:rPr>
          <w:szCs w:val="24"/>
        </w:rPr>
        <w:t xml:space="preserve"> the following alternative argument in </w:t>
      </w:r>
      <w:r w:rsidRPr="00941394">
        <w:rPr>
          <w:szCs w:val="24"/>
        </w:rPr>
        <w:t>paragraphs 35 and 36</w:t>
      </w:r>
      <w:r w:rsidR="000550DC">
        <w:rPr>
          <w:szCs w:val="24"/>
        </w:rPr>
        <w:t xml:space="preserve"> </w:t>
      </w:r>
      <w:r>
        <w:rPr>
          <w:szCs w:val="24"/>
        </w:rPr>
        <w:t xml:space="preserve">of her skeleton </w:t>
      </w:r>
      <w:r w:rsidR="00CF2FB8">
        <w:rPr>
          <w:szCs w:val="24"/>
        </w:rPr>
        <w:t>argument</w:t>
      </w:r>
      <w:r w:rsidRPr="00941394">
        <w:rPr>
          <w:szCs w:val="24"/>
        </w:rPr>
        <w:t>:</w:t>
      </w:r>
    </w:p>
    <w:p w14:paraId="72D8B362" w14:textId="5DA696DF" w:rsidR="00941394" w:rsidRPr="00941394" w:rsidRDefault="00941394" w:rsidP="00AC6944">
      <w:pPr>
        <w:pStyle w:val="ListParagraph"/>
        <w:spacing w:after="120" w:line="240" w:lineRule="auto"/>
        <w:ind w:left="2880" w:hanging="720"/>
        <w:contextualSpacing w:val="0"/>
        <w:jc w:val="both"/>
        <w:rPr>
          <w:szCs w:val="24"/>
        </w:rPr>
      </w:pPr>
      <w:r w:rsidRPr="00941394">
        <w:rPr>
          <w:szCs w:val="24"/>
        </w:rPr>
        <w:t>“35.</w:t>
      </w:r>
      <w:r w:rsidRPr="00941394">
        <w:rPr>
          <w:szCs w:val="24"/>
        </w:rPr>
        <w:tab/>
        <w:t xml:space="preserve">If the </w:t>
      </w:r>
      <w:r w:rsidR="00E57DAB">
        <w:rPr>
          <w:szCs w:val="24"/>
        </w:rPr>
        <w:t>Judge</w:t>
      </w:r>
      <w:r w:rsidRPr="00941394">
        <w:rPr>
          <w:szCs w:val="24"/>
        </w:rPr>
        <w:t xml:space="preserve"> were to find on review that s.74(3) does not strictly apply, that is not the end of the matter.</w:t>
      </w:r>
    </w:p>
    <w:p w14:paraId="7E66A14C" w14:textId="49C5DE09" w:rsidR="00941394" w:rsidRPr="00941394" w:rsidRDefault="00941394" w:rsidP="00AC6944">
      <w:pPr>
        <w:pStyle w:val="ListParagraph"/>
        <w:spacing w:after="240" w:line="240" w:lineRule="auto"/>
        <w:ind w:left="2880" w:hanging="720"/>
        <w:contextualSpacing w:val="0"/>
        <w:jc w:val="both"/>
        <w:rPr>
          <w:szCs w:val="24"/>
        </w:rPr>
      </w:pPr>
      <w:r w:rsidRPr="00941394">
        <w:rPr>
          <w:szCs w:val="24"/>
        </w:rPr>
        <w:t>36.</w:t>
      </w:r>
      <w:r w:rsidRPr="00941394">
        <w:rPr>
          <w:szCs w:val="24"/>
        </w:rPr>
        <w:tab/>
        <w:t xml:space="preserve">The </w:t>
      </w:r>
      <w:r w:rsidR="00E57DAB">
        <w:rPr>
          <w:szCs w:val="24"/>
        </w:rPr>
        <w:t>Judge</w:t>
      </w:r>
      <w:r w:rsidRPr="00941394">
        <w:rPr>
          <w:szCs w:val="24"/>
        </w:rPr>
        <w:t xml:space="preserve"> would be able to reach the same result, either by the application of CPR 46.9(3)(c), or by applying the “fairness” test under the Non Contentious Business Remuneration Order.”</w:t>
      </w:r>
    </w:p>
    <w:p w14:paraId="39D92AA8" w14:textId="5CE9290E" w:rsidR="00941394" w:rsidRDefault="00875C4D" w:rsidP="00AC6944">
      <w:pPr>
        <w:pStyle w:val="ListParagraph"/>
        <w:numPr>
          <w:ilvl w:val="1"/>
          <w:numId w:val="15"/>
        </w:numPr>
        <w:spacing w:after="240" w:line="240" w:lineRule="auto"/>
        <w:contextualSpacing w:val="0"/>
        <w:jc w:val="both"/>
        <w:rPr>
          <w:szCs w:val="24"/>
        </w:rPr>
      </w:pPr>
      <w:r>
        <w:rPr>
          <w:szCs w:val="24"/>
        </w:rPr>
        <w:t xml:space="preserve">The </w:t>
      </w:r>
      <w:r w:rsidR="00CF2FB8">
        <w:rPr>
          <w:szCs w:val="24"/>
        </w:rPr>
        <w:t>Claimant</w:t>
      </w:r>
      <w:r>
        <w:rPr>
          <w:szCs w:val="24"/>
        </w:rPr>
        <w:t xml:space="preserve"> supported the </w:t>
      </w:r>
      <w:r w:rsidR="000550DC">
        <w:rPr>
          <w:szCs w:val="24"/>
        </w:rPr>
        <w:t>d</w:t>
      </w:r>
      <w:r w:rsidR="00E57DAB">
        <w:rPr>
          <w:szCs w:val="24"/>
        </w:rPr>
        <w:t>istrict</w:t>
      </w:r>
      <w:r>
        <w:rPr>
          <w:szCs w:val="24"/>
        </w:rPr>
        <w:t xml:space="preserve"> </w:t>
      </w:r>
      <w:r w:rsidR="000550DC">
        <w:rPr>
          <w:szCs w:val="24"/>
        </w:rPr>
        <w:t>j</w:t>
      </w:r>
      <w:r w:rsidR="00E57DAB">
        <w:rPr>
          <w:szCs w:val="24"/>
        </w:rPr>
        <w:t>udge</w:t>
      </w:r>
      <w:r>
        <w:rPr>
          <w:szCs w:val="24"/>
        </w:rPr>
        <w:t>’s decision on Point 3.  T</w:t>
      </w:r>
      <w:r w:rsidR="00941394" w:rsidRPr="00941394">
        <w:rPr>
          <w:szCs w:val="24"/>
        </w:rPr>
        <w:t xml:space="preserve">he Claimant did not </w:t>
      </w:r>
      <w:r w:rsidR="00CF2FB8" w:rsidRPr="00941394">
        <w:rPr>
          <w:szCs w:val="24"/>
        </w:rPr>
        <w:t>submit</w:t>
      </w:r>
      <w:r w:rsidR="00941394" w:rsidRPr="00941394">
        <w:rPr>
          <w:szCs w:val="24"/>
        </w:rPr>
        <w:t xml:space="preserve"> that the </w:t>
      </w:r>
      <w:r w:rsidR="000550DC">
        <w:rPr>
          <w:szCs w:val="24"/>
        </w:rPr>
        <w:t>d</w:t>
      </w:r>
      <w:r w:rsidR="00E57DAB">
        <w:rPr>
          <w:szCs w:val="24"/>
        </w:rPr>
        <w:t>istrict</w:t>
      </w:r>
      <w:r w:rsidR="00941394" w:rsidRPr="00941394">
        <w:rPr>
          <w:szCs w:val="24"/>
        </w:rPr>
        <w:t xml:space="preserve"> </w:t>
      </w:r>
      <w:r w:rsidR="000550DC">
        <w:rPr>
          <w:szCs w:val="24"/>
        </w:rPr>
        <w:t>j</w:t>
      </w:r>
      <w:r w:rsidR="00E57DAB">
        <w:rPr>
          <w:szCs w:val="24"/>
        </w:rPr>
        <w:t>udge</w:t>
      </w:r>
      <w:r w:rsidR="00941394" w:rsidRPr="00941394">
        <w:rPr>
          <w:szCs w:val="24"/>
        </w:rPr>
        <w:t xml:space="preserve"> should have assessed the tim</w:t>
      </w:r>
      <w:r w:rsidR="00CF2FB8">
        <w:rPr>
          <w:szCs w:val="24"/>
        </w:rPr>
        <w:t>e</w:t>
      </w:r>
      <w:r w:rsidR="00941394" w:rsidRPr="00941394">
        <w:rPr>
          <w:szCs w:val="24"/>
        </w:rPr>
        <w:t xml:space="preserve"> </w:t>
      </w:r>
      <w:r>
        <w:rPr>
          <w:szCs w:val="24"/>
        </w:rPr>
        <w:t>allowed</w:t>
      </w:r>
      <w:r w:rsidR="00941394" w:rsidRPr="00941394">
        <w:rPr>
          <w:szCs w:val="24"/>
        </w:rPr>
        <w:t xml:space="preserve"> at anything other than 9 </w:t>
      </w:r>
      <w:r w:rsidR="00CF2FB8" w:rsidRPr="00941394">
        <w:rPr>
          <w:szCs w:val="24"/>
        </w:rPr>
        <w:t>hours</w:t>
      </w:r>
      <w:r w:rsidR="00941394" w:rsidRPr="00941394">
        <w:rPr>
          <w:szCs w:val="24"/>
        </w:rPr>
        <w:t xml:space="preserve"> and did </w:t>
      </w:r>
      <w:r w:rsidR="00CF2FB8" w:rsidRPr="00941394">
        <w:rPr>
          <w:szCs w:val="24"/>
        </w:rPr>
        <w:t>not</w:t>
      </w:r>
      <w:r w:rsidR="00941394" w:rsidRPr="00941394">
        <w:rPr>
          <w:szCs w:val="24"/>
        </w:rPr>
        <w:t xml:space="preserve"> argue for a lower rate than £120 per hour.</w:t>
      </w:r>
    </w:p>
    <w:p w14:paraId="718156C6" w14:textId="6CD25621" w:rsidR="00875C4D" w:rsidRPr="00EE0ED9" w:rsidRDefault="00875C4D" w:rsidP="00AC6944">
      <w:pPr>
        <w:pStyle w:val="ListParagraph"/>
        <w:numPr>
          <w:ilvl w:val="1"/>
          <w:numId w:val="15"/>
        </w:numPr>
        <w:spacing w:after="240" w:line="240" w:lineRule="auto"/>
        <w:contextualSpacing w:val="0"/>
        <w:jc w:val="both"/>
        <w:rPr>
          <w:szCs w:val="24"/>
        </w:rPr>
      </w:pPr>
      <w:r>
        <w:rPr>
          <w:szCs w:val="24"/>
        </w:rPr>
        <w:t xml:space="preserve">The </w:t>
      </w:r>
      <w:r w:rsidR="00CF2FB8">
        <w:rPr>
          <w:szCs w:val="24"/>
        </w:rPr>
        <w:t>Claimant</w:t>
      </w:r>
      <w:r>
        <w:rPr>
          <w:szCs w:val="24"/>
        </w:rPr>
        <w:t xml:space="preserve"> supported the </w:t>
      </w:r>
      <w:r w:rsidR="000550DC">
        <w:rPr>
          <w:szCs w:val="24"/>
        </w:rPr>
        <w:t>d</w:t>
      </w:r>
      <w:r w:rsidR="00E57DAB">
        <w:rPr>
          <w:szCs w:val="24"/>
        </w:rPr>
        <w:t>istrict</w:t>
      </w:r>
      <w:r>
        <w:rPr>
          <w:szCs w:val="24"/>
        </w:rPr>
        <w:t xml:space="preserve"> </w:t>
      </w:r>
      <w:r w:rsidR="000550DC">
        <w:rPr>
          <w:szCs w:val="24"/>
        </w:rPr>
        <w:t>j</w:t>
      </w:r>
      <w:r w:rsidR="00E57DAB">
        <w:rPr>
          <w:szCs w:val="24"/>
        </w:rPr>
        <w:t>udge</w:t>
      </w:r>
      <w:r>
        <w:rPr>
          <w:szCs w:val="24"/>
        </w:rPr>
        <w:t>’s decision on Point 4.</w:t>
      </w:r>
    </w:p>
    <w:p w14:paraId="64DB24A7" w14:textId="77D8D992" w:rsidR="00EE0ED9" w:rsidRPr="00EE0ED9" w:rsidRDefault="00EE0ED9" w:rsidP="00AC6944">
      <w:pPr>
        <w:pStyle w:val="ListParagraph"/>
        <w:spacing w:after="240" w:line="240" w:lineRule="auto"/>
        <w:contextualSpacing w:val="0"/>
        <w:jc w:val="both"/>
        <w:rPr>
          <w:i/>
          <w:iCs/>
          <w:szCs w:val="24"/>
        </w:rPr>
      </w:pPr>
      <w:r>
        <w:rPr>
          <w:i/>
          <w:iCs/>
          <w:szCs w:val="24"/>
        </w:rPr>
        <w:t>(2)(g)(i) The Amount at Issue</w:t>
      </w:r>
    </w:p>
    <w:p w14:paraId="602804CE" w14:textId="0A2ED81D" w:rsidR="00C77F7E" w:rsidRPr="00C77F7E" w:rsidRDefault="00C77F7E" w:rsidP="00AC6944">
      <w:pPr>
        <w:pStyle w:val="ListParagraph"/>
        <w:numPr>
          <w:ilvl w:val="0"/>
          <w:numId w:val="15"/>
        </w:numPr>
        <w:spacing w:after="240" w:line="240" w:lineRule="auto"/>
        <w:contextualSpacing w:val="0"/>
        <w:jc w:val="both"/>
        <w:rPr>
          <w:szCs w:val="24"/>
        </w:rPr>
      </w:pPr>
      <w:r>
        <w:rPr>
          <w:rFonts w:eastAsia="Times New Roman" w:cs="Times New Roman"/>
          <w:szCs w:val="24"/>
        </w:rPr>
        <w:t xml:space="preserve">In financial terms, what was in dispute before the </w:t>
      </w:r>
      <w:r w:rsidR="000550DC">
        <w:rPr>
          <w:rFonts w:eastAsia="Times New Roman" w:cs="Times New Roman"/>
          <w:szCs w:val="24"/>
        </w:rPr>
        <w:t>d</w:t>
      </w:r>
      <w:r w:rsidR="00E57DAB">
        <w:rPr>
          <w:rFonts w:eastAsia="Times New Roman" w:cs="Times New Roman"/>
          <w:szCs w:val="24"/>
        </w:rPr>
        <w:t>istrict</w:t>
      </w:r>
      <w:r>
        <w:rPr>
          <w:rFonts w:eastAsia="Times New Roman" w:cs="Times New Roman"/>
          <w:szCs w:val="24"/>
        </w:rPr>
        <w:t xml:space="preserve"> </w:t>
      </w:r>
      <w:r w:rsidR="000550DC">
        <w:rPr>
          <w:rFonts w:eastAsia="Times New Roman" w:cs="Times New Roman"/>
          <w:szCs w:val="24"/>
        </w:rPr>
        <w:t>j</w:t>
      </w:r>
      <w:r w:rsidR="00E57DAB">
        <w:rPr>
          <w:rFonts w:eastAsia="Times New Roman" w:cs="Times New Roman"/>
          <w:szCs w:val="24"/>
        </w:rPr>
        <w:t>udge</w:t>
      </w:r>
      <w:r>
        <w:rPr>
          <w:rFonts w:eastAsia="Times New Roman" w:cs="Times New Roman"/>
          <w:szCs w:val="24"/>
        </w:rPr>
        <w:t xml:space="preserve"> was a modest amount:</w:t>
      </w:r>
    </w:p>
    <w:p w14:paraId="74910F56" w14:textId="33F2DC83" w:rsidR="00C77F7E" w:rsidRDefault="00C77F7E" w:rsidP="00AC6944">
      <w:pPr>
        <w:pStyle w:val="ListParagraph"/>
        <w:numPr>
          <w:ilvl w:val="1"/>
          <w:numId w:val="15"/>
        </w:numPr>
        <w:spacing w:after="240" w:line="240" w:lineRule="auto"/>
        <w:contextualSpacing w:val="0"/>
        <w:jc w:val="both"/>
        <w:rPr>
          <w:szCs w:val="24"/>
        </w:rPr>
      </w:pPr>
      <w:r>
        <w:rPr>
          <w:szCs w:val="24"/>
        </w:rPr>
        <w:lastRenderedPageBreak/>
        <w:t xml:space="preserve">The </w:t>
      </w:r>
      <w:r w:rsidR="00CF2FB8">
        <w:rPr>
          <w:szCs w:val="24"/>
        </w:rPr>
        <w:t>Defendant</w:t>
      </w:r>
      <w:r>
        <w:rPr>
          <w:szCs w:val="24"/>
        </w:rPr>
        <w:t xml:space="preserve"> had received £1,116 from </w:t>
      </w:r>
      <w:r w:rsidR="00CF2FB8">
        <w:rPr>
          <w:szCs w:val="24"/>
        </w:rPr>
        <w:t>Aviva</w:t>
      </w:r>
      <w:r>
        <w:rPr>
          <w:szCs w:val="24"/>
        </w:rPr>
        <w:t xml:space="preserve"> and had deducted £455.50 from the </w:t>
      </w:r>
      <w:r w:rsidR="00CF2FB8">
        <w:rPr>
          <w:szCs w:val="24"/>
        </w:rPr>
        <w:t>Claimant’s</w:t>
      </w:r>
      <w:r>
        <w:rPr>
          <w:szCs w:val="24"/>
        </w:rPr>
        <w:t xml:space="preserve"> damages.  The </w:t>
      </w:r>
      <w:r w:rsidR="00CF2FB8">
        <w:rPr>
          <w:szCs w:val="24"/>
        </w:rPr>
        <w:t>Defendant</w:t>
      </w:r>
      <w:r>
        <w:rPr>
          <w:szCs w:val="24"/>
        </w:rPr>
        <w:t xml:space="preserve"> was not seeking to b</w:t>
      </w:r>
      <w:r w:rsidR="000550DC">
        <w:rPr>
          <w:szCs w:val="24"/>
        </w:rPr>
        <w:t>e</w:t>
      </w:r>
      <w:r>
        <w:rPr>
          <w:szCs w:val="24"/>
        </w:rPr>
        <w:t xml:space="preserve"> paid </w:t>
      </w:r>
      <w:r w:rsidR="00CF2FB8">
        <w:rPr>
          <w:szCs w:val="24"/>
        </w:rPr>
        <w:t>anything</w:t>
      </w:r>
      <w:r>
        <w:rPr>
          <w:szCs w:val="24"/>
        </w:rPr>
        <w:t xml:space="preserve"> more in respect </w:t>
      </w:r>
      <w:r w:rsidR="00CF2FB8">
        <w:rPr>
          <w:szCs w:val="24"/>
        </w:rPr>
        <w:t>of</w:t>
      </w:r>
      <w:r>
        <w:rPr>
          <w:szCs w:val="24"/>
        </w:rPr>
        <w:t xml:space="preserve"> </w:t>
      </w:r>
      <w:r w:rsidR="00CF2FB8">
        <w:rPr>
          <w:szCs w:val="24"/>
        </w:rPr>
        <w:t>its</w:t>
      </w:r>
      <w:r>
        <w:rPr>
          <w:szCs w:val="24"/>
        </w:rPr>
        <w:t xml:space="preserve"> costs.</w:t>
      </w:r>
    </w:p>
    <w:p w14:paraId="68D3F43D" w14:textId="0FBC895A" w:rsidR="00C77F7E" w:rsidRDefault="00C77F7E" w:rsidP="00AC6944">
      <w:pPr>
        <w:pStyle w:val="ListParagraph"/>
        <w:numPr>
          <w:ilvl w:val="1"/>
          <w:numId w:val="15"/>
        </w:numPr>
        <w:spacing w:after="240" w:line="240" w:lineRule="auto"/>
        <w:contextualSpacing w:val="0"/>
        <w:jc w:val="both"/>
        <w:rPr>
          <w:szCs w:val="24"/>
        </w:rPr>
      </w:pPr>
      <w:r>
        <w:rPr>
          <w:szCs w:val="24"/>
        </w:rPr>
        <w:t xml:space="preserve">The </w:t>
      </w:r>
      <w:r w:rsidR="00CF2FB8">
        <w:rPr>
          <w:szCs w:val="24"/>
        </w:rPr>
        <w:t>Claimant</w:t>
      </w:r>
      <w:r>
        <w:rPr>
          <w:szCs w:val="24"/>
        </w:rPr>
        <w:t xml:space="preserve"> accepted that the </w:t>
      </w:r>
      <w:r w:rsidR="00CF2FB8">
        <w:rPr>
          <w:szCs w:val="24"/>
        </w:rPr>
        <w:t>Defendant</w:t>
      </w:r>
      <w:r>
        <w:rPr>
          <w:szCs w:val="24"/>
        </w:rPr>
        <w:t xml:space="preserve"> could retain </w:t>
      </w:r>
      <w:r w:rsidR="00CF2FB8">
        <w:rPr>
          <w:szCs w:val="24"/>
        </w:rPr>
        <w:t>the</w:t>
      </w:r>
      <w:r>
        <w:rPr>
          <w:szCs w:val="24"/>
        </w:rPr>
        <w:t xml:space="preserve"> £1,116 received from Aviva, which included:</w:t>
      </w:r>
    </w:p>
    <w:p w14:paraId="219B50AB" w14:textId="75B242CD" w:rsidR="00C77F7E" w:rsidRDefault="00C77F7E" w:rsidP="00AC6944">
      <w:pPr>
        <w:pStyle w:val="ListParagraph"/>
        <w:numPr>
          <w:ilvl w:val="2"/>
          <w:numId w:val="15"/>
        </w:numPr>
        <w:spacing w:after="240" w:line="240" w:lineRule="auto"/>
        <w:contextualSpacing w:val="0"/>
        <w:jc w:val="both"/>
        <w:rPr>
          <w:szCs w:val="24"/>
        </w:rPr>
      </w:pPr>
      <w:r>
        <w:rPr>
          <w:szCs w:val="24"/>
        </w:rPr>
        <w:t xml:space="preserve">£216 </w:t>
      </w:r>
      <w:r w:rsidR="000550DC">
        <w:rPr>
          <w:szCs w:val="24"/>
        </w:rPr>
        <w:t xml:space="preserve">(i.e. £180 plus </w:t>
      </w:r>
      <w:r w:rsidR="00ED0402">
        <w:rPr>
          <w:szCs w:val="24"/>
        </w:rPr>
        <w:t>V</w:t>
      </w:r>
      <w:r w:rsidR="000550DC">
        <w:rPr>
          <w:szCs w:val="24"/>
        </w:rPr>
        <w:t xml:space="preserve">AT of £36) </w:t>
      </w:r>
      <w:r>
        <w:rPr>
          <w:szCs w:val="24"/>
        </w:rPr>
        <w:t>in respect of the medical report fee; and</w:t>
      </w:r>
    </w:p>
    <w:p w14:paraId="4363D3DE" w14:textId="3A3086BD" w:rsidR="00C77F7E" w:rsidRDefault="00C77F7E" w:rsidP="00AC6944">
      <w:pPr>
        <w:pStyle w:val="ListParagraph"/>
        <w:numPr>
          <w:ilvl w:val="2"/>
          <w:numId w:val="15"/>
        </w:numPr>
        <w:spacing w:after="240" w:line="240" w:lineRule="auto"/>
        <w:contextualSpacing w:val="0"/>
        <w:jc w:val="both"/>
        <w:rPr>
          <w:szCs w:val="24"/>
        </w:rPr>
      </w:pPr>
      <w:r>
        <w:rPr>
          <w:szCs w:val="24"/>
        </w:rPr>
        <w:t xml:space="preserve">£900 (i.e. £750 plus VAT of £150) in respect </w:t>
      </w:r>
      <w:r w:rsidR="00CF2FB8">
        <w:rPr>
          <w:szCs w:val="24"/>
        </w:rPr>
        <w:t>of</w:t>
      </w:r>
      <w:r>
        <w:rPr>
          <w:szCs w:val="24"/>
        </w:rPr>
        <w:t xml:space="preserve"> the Defendant’s ba</w:t>
      </w:r>
      <w:r w:rsidR="00ED0402">
        <w:rPr>
          <w:szCs w:val="24"/>
        </w:rPr>
        <w:t>s</w:t>
      </w:r>
      <w:r w:rsidR="000550DC">
        <w:rPr>
          <w:szCs w:val="24"/>
        </w:rPr>
        <w:t>e</w:t>
      </w:r>
      <w:r>
        <w:rPr>
          <w:szCs w:val="24"/>
        </w:rPr>
        <w:t xml:space="preserve"> costs.</w:t>
      </w:r>
    </w:p>
    <w:p w14:paraId="12019B52" w14:textId="752F744D" w:rsidR="00C77F7E" w:rsidRDefault="00C77F7E" w:rsidP="00AC6944">
      <w:pPr>
        <w:pStyle w:val="ListParagraph"/>
        <w:numPr>
          <w:ilvl w:val="1"/>
          <w:numId w:val="15"/>
        </w:numPr>
        <w:spacing w:after="240" w:line="240" w:lineRule="auto"/>
        <w:contextualSpacing w:val="0"/>
        <w:jc w:val="both"/>
        <w:rPr>
          <w:szCs w:val="24"/>
        </w:rPr>
      </w:pPr>
      <w:r>
        <w:rPr>
          <w:szCs w:val="24"/>
        </w:rPr>
        <w:t xml:space="preserve">The </w:t>
      </w:r>
      <w:r w:rsidR="00CF2FB8">
        <w:rPr>
          <w:szCs w:val="24"/>
        </w:rPr>
        <w:t>Claimant</w:t>
      </w:r>
      <w:r>
        <w:rPr>
          <w:szCs w:val="24"/>
        </w:rPr>
        <w:t xml:space="preserve"> also accepted that the Defendant </w:t>
      </w:r>
      <w:r w:rsidR="000550DC">
        <w:rPr>
          <w:szCs w:val="24"/>
        </w:rPr>
        <w:t>had be</w:t>
      </w:r>
      <w:r w:rsidR="00505A03">
        <w:rPr>
          <w:szCs w:val="24"/>
        </w:rPr>
        <w:t>en</w:t>
      </w:r>
      <w:r w:rsidR="000550DC">
        <w:rPr>
          <w:szCs w:val="24"/>
        </w:rPr>
        <w:t xml:space="preserve"> entitled to</w:t>
      </w:r>
      <w:r>
        <w:rPr>
          <w:szCs w:val="24"/>
        </w:rPr>
        <w:t xml:space="preserve"> deduct </w:t>
      </w:r>
      <w:r w:rsidR="0071444D">
        <w:rPr>
          <w:szCs w:val="24"/>
        </w:rPr>
        <w:t xml:space="preserve">a total of £278 </w:t>
      </w:r>
      <w:r>
        <w:rPr>
          <w:szCs w:val="24"/>
        </w:rPr>
        <w:t xml:space="preserve">from the </w:t>
      </w:r>
      <w:r w:rsidR="00CF2FB8">
        <w:rPr>
          <w:szCs w:val="24"/>
        </w:rPr>
        <w:t>Claimant’s</w:t>
      </w:r>
      <w:r>
        <w:rPr>
          <w:szCs w:val="24"/>
        </w:rPr>
        <w:t xml:space="preserve"> damages</w:t>
      </w:r>
      <w:r w:rsidR="0071444D">
        <w:rPr>
          <w:szCs w:val="24"/>
        </w:rPr>
        <w:t xml:space="preserve">, </w:t>
      </w:r>
      <w:r w:rsidR="00EE0ED9">
        <w:rPr>
          <w:szCs w:val="24"/>
        </w:rPr>
        <w:t>m</w:t>
      </w:r>
      <w:r w:rsidR="0071444D">
        <w:rPr>
          <w:szCs w:val="24"/>
        </w:rPr>
        <w:t>ade up of:</w:t>
      </w:r>
    </w:p>
    <w:p w14:paraId="50D526D7" w14:textId="58B67CDE" w:rsidR="0071444D" w:rsidRDefault="0071444D" w:rsidP="00AC6944">
      <w:pPr>
        <w:pStyle w:val="ListParagraph"/>
        <w:numPr>
          <w:ilvl w:val="2"/>
          <w:numId w:val="15"/>
        </w:numPr>
        <w:spacing w:after="240" w:line="240" w:lineRule="auto"/>
        <w:contextualSpacing w:val="0"/>
        <w:jc w:val="both"/>
        <w:rPr>
          <w:szCs w:val="24"/>
        </w:rPr>
      </w:pPr>
      <w:r>
        <w:rPr>
          <w:szCs w:val="24"/>
        </w:rPr>
        <w:t xml:space="preserve">£143 in respect </w:t>
      </w:r>
      <w:r w:rsidR="00CF2FB8">
        <w:rPr>
          <w:szCs w:val="24"/>
        </w:rPr>
        <w:t>of</w:t>
      </w:r>
      <w:r>
        <w:rPr>
          <w:szCs w:val="24"/>
        </w:rPr>
        <w:t xml:space="preserve"> the ATE insurance premium; and</w:t>
      </w:r>
    </w:p>
    <w:p w14:paraId="4D0EC804" w14:textId="11DB0454" w:rsidR="0071444D" w:rsidRDefault="0071444D" w:rsidP="00AC6944">
      <w:pPr>
        <w:pStyle w:val="ListParagraph"/>
        <w:numPr>
          <w:ilvl w:val="2"/>
          <w:numId w:val="15"/>
        </w:numPr>
        <w:spacing w:after="240" w:line="240" w:lineRule="auto"/>
        <w:contextualSpacing w:val="0"/>
        <w:jc w:val="both"/>
        <w:rPr>
          <w:szCs w:val="24"/>
        </w:rPr>
      </w:pPr>
      <w:r>
        <w:rPr>
          <w:szCs w:val="24"/>
        </w:rPr>
        <w:t xml:space="preserve">£135 (i.e. £112.50 plus VAT of £22.50) in respect </w:t>
      </w:r>
      <w:r w:rsidR="00CF2FB8">
        <w:rPr>
          <w:szCs w:val="24"/>
        </w:rPr>
        <w:t>of</w:t>
      </w:r>
      <w:r>
        <w:rPr>
          <w:szCs w:val="24"/>
        </w:rPr>
        <w:t xml:space="preserve"> the success fee</w:t>
      </w:r>
      <w:r w:rsidR="006E231E">
        <w:rPr>
          <w:szCs w:val="24"/>
        </w:rPr>
        <w:t>, calculated as</w:t>
      </w:r>
      <w:r>
        <w:rPr>
          <w:szCs w:val="24"/>
        </w:rPr>
        <w:t xml:space="preserve"> 15% of </w:t>
      </w:r>
      <w:r w:rsidR="000550DC">
        <w:rPr>
          <w:szCs w:val="24"/>
        </w:rPr>
        <w:t>£900</w:t>
      </w:r>
      <w:r>
        <w:rPr>
          <w:szCs w:val="24"/>
        </w:rPr>
        <w:t>.</w:t>
      </w:r>
    </w:p>
    <w:p w14:paraId="45B51778" w14:textId="77777777" w:rsidR="0071444D" w:rsidRDefault="0071444D" w:rsidP="00AC6944">
      <w:pPr>
        <w:pStyle w:val="ListParagraph"/>
        <w:numPr>
          <w:ilvl w:val="1"/>
          <w:numId w:val="15"/>
        </w:numPr>
        <w:spacing w:after="240" w:line="240" w:lineRule="auto"/>
        <w:contextualSpacing w:val="0"/>
        <w:jc w:val="both"/>
        <w:rPr>
          <w:szCs w:val="24"/>
        </w:rPr>
      </w:pPr>
      <w:r>
        <w:rPr>
          <w:szCs w:val="24"/>
        </w:rPr>
        <w:t>So the dispute was over £177.50 (i.e. £455.50 less £278).  As to this:</w:t>
      </w:r>
    </w:p>
    <w:p w14:paraId="5228A959" w14:textId="46BB4698" w:rsidR="00C77F7E" w:rsidRDefault="0071444D" w:rsidP="00AC6944">
      <w:pPr>
        <w:pStyle w:val="ListParagraph"/>
        <w:numPr>
          <w:ilvl w:val="2"/>
          <w:numId w:val="15"/>
        </w:numPr>
        <w:spacing w:after="240" w:line="240" w:lineRule="auto"/>
        <w:contextualSpacing w:val="0"/>
        <w:jc w:val="both"/>
        <w:rPr>
          <w:szCs w:val="24"/>
        </w:rPr>
      </w:pPr>
      <w:r>
        <w:rPr>
          <w:szCs w:val="24"/>
        </w:rPr>
        <w:t xml:space="preserve">The Claimant said that this amount was not payable because the </w:t>
      </w:r>
      <w:r w:rsidR="00CF2FB8">
        <w:rPr>
          <w:szCs w:val="24"/>
        </w:rPr>
        <w:t>Defendant’s</w:t>
      </w:r>
      <w:r>
        <w:rPr>
          <w:szCs w:val="24"/>
        </w:rPr>
        <w:t xml:space="preserve"> bas</w:t>
      </w:r>
      <w:r w:rsidR="000550DC">
        <w:rPr>
          <w:szCs w:val="24"/>
        </w:rPr>
        <w:t>e</w:t>
      </w:r>
      <w:r>
        <w:rPr>
          <w:szCs w:val="24"/>
        </w:rPr>
        <w:t xml:space="preserve"> costs were limited to the £</w:t>
      </w:r>
      <w:r w:rsidR="000550DC">
        <w:rPr>
          <w:szCs w:val="24"/>
        </w:rPr>
        <w:t>90</w:t>
      </w:r>
      <w:r>
        <w:rPr>
          <w:szCs w:val="24"/>
        </w:rPr>
        <w:t>0 received from Aviva.</w:t>
      </w:r>
    </w:p>
    <w:p w14:paraId="2879DF46" w14:textId="667E2CEA" w:rsidR="000550DC" w:rsidRDefault="0071444D" w:rsidP="00AC6944">
      <w:pPr>
        <w:pStyle w:val="ListParagraph"/>
        <w:numPr>
          <w:ilvl w:val="2"/>
          <w:numId w:val="15"/>
        </w:numPr>
        <w:spacing w:after="240" w:line="240" w:lineRule="auto"/>
        <w:contextualSpacing w:val="0"/>
        <w:jc w:val="both"/>
        <w:rPr>
          <w:szCs w:val="24"/>
        </w:rPr>
      </w:pPr>
      <w:r w:rsidRPr="00F259EF">
        <w:rPr>
          <w:szCs w:val="24"/>
        </w:rPr>
        <w:t xml:space="preserve">The Defendant </w:t>
      </w:r>
      <w:r w:rsidR="00F259EF" w:rsidRPr="00F259EF">
        <w:rPr>
          <w:szCs w:val="24"/>
        </w:rPr>
        <w:t>contended that it was entitled to more than £900 in respect of its bas</w:t>
      </w:r>
      <w:r w:rsidR="000550DC">
        <w:rPr>
          <w:szCs w:val="24"/>
        </w:rPr>
        <w:t>e</w:t>
      </w:r>
      <w:r w:rsidR="00F259EF" w:rsidRPr="00F259EF">
        <w:rPr>
          <w:szCs w:val="24"/>
        </w:rPr>
        <w:t xml:space="preserve"> costs </w:t>
      </w:r>
      <w:r w:rsidR="00CF2FB8" w:rsidRPr="00F259EF">
        <w:rPr>
          <w:szCs w:val="24"/>
        </w:rPr>
        <w:t>and</w:t>
      </w:r>
      <w:r w:rsidR="00F259EF" w:rsidRPr="00F259EF">
        <w:rPr>
          <w:szCs w:val="24"/>
        </w:rPr>
        <w:t xml:space="preserve">/or to a success fee of more than 15% of </w:t>
      </w:r>
      <w:r w:rsidR="00CF2FB8" w:rsidRPr="00F259EF">
        <w:rPr>
          <w:szCs w:val="24"/>
        </w:rPr>
        <w:t>its</w:t>
      </w:r>
      <w:r w:rsidR="00F259EF" w:rsidRPr="00F259EF">
        <w:rPr>
          <w:szCs w:val="24"/>
        </w:rPr>
        <w:t xml:space="preserve"> bas</w:t>
      </w:r>
      <w:r w:rsidR="00505A03">
        <w:rPr>
          <w:szCs w:val="24"/>
        </w:rPr>
        <w:t>e</w:t>
      </w:r>
      <w:r w:rsidR="00F259EF" w:rsidRPr="00F259EF">
        <w:rPr>
          <w:szCs w:val="24"/>
        </w:rPr>
        <w:t xml:space="preserve"> costs.   </w:t>
      </w:r>
    </w:p>
    <w:p w14:paraId="01933D3E" w14:textId="77777777" w:rsidR="009F1C65" w:rsidRDefault="000550DC" w:rsidP="00AC6944">
      <w:pPr>
        <w:pStyle w:val="ListParagraph"/>
        <w:numPr>
          <w:ilvl w:val="1"/>
          <w:numId w:val="15"/>
        </w:numPr>
        <w:spacing w:after="240" w:line="240" w:lineRule="auto"/>
        <w:contextualSpacing w:val="0"/>
        <w:jc w:val="both"/>
        <w:rPr>
          <w:szCs w:val="24"/>
        </w:rPr>
      </w:pPr>
      <w:r>
        <w:rPr>
          <w:szCs w:val="24"/>
        </w:rPr>
        <w:t>Although the following figures were not cited before the district judge, it can be seen that th</w:t>
      </w:r>
      <w:r w:rsidRPr="000550DC">
        <w:rPr>
          <w:szCs w:val="24"/>
        </w:rPr>
        <w:t>e £177.50 difference between the parties</w:t>
      </w:r>
      <w:r>
        <w:rPr>
          <w:szCs w:val="24"/>
        </w:rPr>
        <w:t xml:space="preserve"> </w:t>
      </w:r>
      <w:r w:rsidR="009F1C65">
        <w:rPr>
          <w:szCs w:val="24"/>
        </w:rPr>
        <w:t>was equivalent to:</w:t>
      </w:r>
    </w:p>
    <w:p w14:paraId="3D07359F" w14:textId="72ADD686" w:rsidR="009F1C65" w:rsidRDefault="000550DC" w:rsidP="00AC6944">
      <w:pPr>
        <w:pStyle w:val="ListParagraph"/>
        <w:numPr>
          <w:ilvl w:val="2"/>
          <w:numId w:val="15"/>
        </w:numPr>
        <w:spacing w:after="240" w:line="240" w:lineRule="auto"/>
        <w:contextualSpacing w:val="0"/>
        <w:jc w:val="both"/>
        <w:rPr>
          <w:szCs w:val="24"/>
        </w:rPr>
      </w:pPr>
      <w:r w:rsidRPr="000550DC">
        <w:rPr>
          <w:szCs w:val="24"/>
        </w:rPr>
        <w:t>a further £154.3</w:t>
      </w:r>
      <w:r w:rsidR="009F1C65">
        <w:rPr>
          <w:szCs w:val="24"/>
        </w:rPr>
        <w:t>5</w:t>
      </w:r>
      <w:r w:rsidRPr="000550DC">
        <w:rPr>
          <w:szCs w:val="24"/>
        </w:rPr>
        <w:t xml:space="preserve"> (i.e. £128.6</w:t>
      </w:r>
      <w:r w:rsidR="009F1C65">
        <w:rPr>
          <w:szCs w:val="24"/>
        </w:rPr>
        <w:t>3</w:t>
      </w:r>
      <w:r w:rsidRPr="000550DC">
        <w:rPr>
          <w:szCs w:val="24"/>
        </w:rPr>
        <w:t xml:space="preserve"> plus VAT of £25.72) in respect of the Defendant’s bas</w:t>
      </w:r>
      <w:r w:rsidR="009F1C65">
        <w:rPr>
          <w:szCs w:val="24"/>
        </w:rPr>
        <w:t>e</w:t>
      </w:r>
      <w:r w:rsidRPr="000550DC">
        <w:rPr>
          <w:szCs w:val="24"/>
        </w:rPr>
        <w:t xml:space="preserve"> costs, making its bas</w:t>
      </w:r>
      <w:r w:rsidR="00ED0402">
        <w:rPr>
          <w:szCs w:val="24"/>
        </w:rPr>
        <w:t>e</w:t>
      </w:r>
      <w:r w:rsidRPr="000550DC">
        <w:rPr>
          <w:szCs w:val="24"/>
        </w:rPr>
        <w:t xml:space="preserve"> costs £1,054.34 (i.e. £878.62 plus VAT of £175.72)</w:t>
      </w:r>
      <w:r w:rsidR="009F1C65">
        <w:rPr>
          <w:szCs w:val="24"/>
        </w:rPr>
        <w:t xml:space="preserve"> rather than £900; and </w:t>
      </w:r>
    </w:p>
    <w:p w14:paraId="3F93A391" w14:textId="4FFF219A" w:rsidR="000550DC" w:rsidRPr="009F1C65" w:rsidRDefault="009F1C65" w:rsidP="00AC6944">
      <w:pPr>
        <w:pStyle w:val="ListParagraph"/>
        <w:numPr>
          <w:ilvl w:val="2"/>
          <w:numId w:val="15"/>
        </w:numPr>
        <w:spacing w:after="240" w:line="240" w:lineRule="auto"/>
        <w:contextualSpacing w:val="0"/>
        <w:jc w:val="both"/>
        <w:rPr>
          <w:szCs w:val="24"/>
        </w:rPr>
      </w:pPr>
      <w:r>
        <w:rPr>
          <w:szCs w:val="24"/>
        </w:rPr>
        <w:t xml:space="preserve">the consequential </w:t>
      </w:r>
      <w:r w:rsidR="000550DC" w:rsidRPr="009F1C65">
        <w:rPr>
          <w:szCs w:val="24"/>
        </w:rPr>
        <w:t xml:space="preserve">increase </w:t>
      </w:r>
      <w:r>
        <w:rPr>
          <w:szCs w:val="24"/>
        </w:rPr>
        <w:t xml:space="preserve">in </w:t>
      </w:r>
      <w:r w:rsidR="000550DC" w:rsidRPr="009F1C65">
        <w:rPr>
          <w:szCs w:val="24"/>
        </w:rPr>
        <w:t xml:space="preserve">the 15% success fee by £23.15, to £158.15, rather than £135.  </w:t>
      </w:r>
    </w:p>
    <w:p w14:paraId="1652FF3D" w14:textId="77777777" w:rsidR="000550DC" w:rsidRPr="00EE0ED9" w:rsidRDefault="000550DC" w:rsidP="00AC6944">
      <w:pPr>
        <w:pStyle w:val="ListParagraph"/>
        <w:spacing w:after="240" w:line="240" w:lineRule="auto"/>
        <w:jc w:val="both"/>
        <w:rPr>
          <w:i/>
          <w:iCs/>
          <w:szCs w:val="24"/>
        </w:rPr>
      </w:pPr>
      <w:r>
        <w:rPr>
          <w:i/>
          <w:iCs/>
          <w:szCs w:val="24"/>
        </w:rPr>
        <w:t>(2)(g)(ii) The General Point</w:t>
      </w:r>
    </w:p>
    <w:p w14:paraId="68086D16" w14:textId="77777777" w:rsidR="000550DC" w:rsidRPr="000550DC" w:rsidRDefault="000550DC" w:rsidP="00AC6944">
      <w:pPr>
        <w:pStyle w:val="ListParagraph"/>
        <w:spacing w:after="240" w:line="240" w:lineRule="auto"/>
        <w:jc w:val="both"/>
        <w:rPr>
          <w:szCs w:val="24"/>
        </w:rPr>
      </w:pPr>
    </w:p>
    <w:p w14:paraId="2535A097" w14:textId="26B29275" w:rsidR="2DB42992" w:rsidRDefault="2DB42992" w:rsidP="00AC6944">
      <w:pPr>
        <w:pStyle w:val="ListParagraph"/>
        <w:numPr>
          <w:ilvl w:val="0"/>
          <w:numId w:val="15"/>
        </w:numPr>
        <w:spacing w:after="240" w:line="240" w:lineRule="auto"/>
        <w:jc w:val="both"/>
        <w:rPr>
          <w:szCs w:val="24"/>
        </w:rPr>
      </w:pPr>
      <w:r w:rsidRPr="064C8778">
        <w:rPr>
          <w:rFonts w:eastAsia="Times New Roman" w:cs="Times New Roman"/>
          <w:szCs w:val="24"/>
        </w:rPr>
        <w:t>The hearing</w:t>
      </w:r>
      <w:r w:rsidR="690B2334" w:rsidRPr="064C8778">
        <w:rPr>
          <w:rFonts w:eastAsia="Times New Roman" w:cs="Times New Roman"/>
          <w:szCs w:val="24"/>
        </w:rPr>
        <w:t xml:space="preserve"> took pl</w:t>
      </w:r>
      <w:r w:rsidR="6EB77E0B" w:rsidRPr="064C8778">
        <w:rPr>
          <w:rFonts w:eastAsia="Times New Roman" w:cs="Times New Roman"/>
          <w:szCs w:val="24"/>
        </w:rPr>
        <w:t>a</w:t>
      </w:r>
      <w:r w:rsidR="690B2334" w:rsidRPr="064C8778">
        <w:rPr>
          <w:rFonts w:eastAsia="Times New Roman" w:cs="Times New Roman"/>
          <w:szCs w:val="24"/>
        </w:rPr>
        <w:t>ce on 7 January 2020</w:t>
      </w:r>
      <w:r w:rsidR="54225E51" w:rsidRPr="064C8778">
        <w:rPr>
          <w:rFonts w:eastAsia="Times New Roman" w:cs="Times New Roman"/>
          <w:szCs w:val="24"/>
        </w:rPr>
        <w:t xml:space="preserve">.  </w:t>
      </w:r>
      <w:r w:rsidR="08E87AA2" w:rsidRPr="064C8778">
        <w:rPr>
          <w:rFonts w:eastAsia="Times New Roman" w:cs="Times New Roman"/>
          <w:szCs w:val="24"/>
        </w:rPr>
        <w:t>Mr Marven made submiss</w:t>
      </w:r>
      <w:r w:rsidR="617661F2" w:rsidRPr="064C8778">
        <w:rPr>
          <w:rFonts w:eastAsia="Times New Roman" w:cs="Times New Roman"/>
          <w:szCs w:val="24"/>
        </w:rPr>
        <w:t>i</w:t>
      </w:r>
      <w:r w:rsidR="08E87AA2" w:rsidRPr="064C8778">
        <w:rPr>
          <w:rFonts w:eastAsia="Times New Roman" w:cs="Times New Roman"/>
          <w:szCs w:val="24"/>
        </w:rPr>
        <w:t>on</w:t>
      </w:r>
      <w:r w:rsidR="24BA196A" w:rsidRPr="064C8778">
        <w:rPr>
          <w:rFonts w:eastAsia="Times New Roman" w:cs="Times New Roman"/>
          <w:szCs w:val="24"/>
        </w:rPr>
        <w:t>s</w:t>
      </w:r>
      <w:r w:rsidR="08E87AA2" w:rsidRPr="064C8778">
        <w:rPr>
          <w:rFonts w:eastAsia="Times New Roman" w:cs="Times New Roman"/>
          <w:szCs w:val="24"/>
        </w:rPr>
        <w:t xml:space="preserve"> on the General </w:t>
      </w:r>
      <w:r w:rsidR="009F1C65">
        <w:rPr>
          <w:rFonts w:eastAsia="Times New Roman" w:cs="Times New Roman"/>
          <w:szCs w:val="24"/>
        </w:rPr>
        <w:t>P</w:t>
      </w:r>
      <w:r w:rsidR="08E87AA2" w:rsidRPr="064C8778">
        <w:rPr>
          <w:rFonts w:eastAsia="Times New Roman" w:cs="Times New Roman"/>
          <w:szCs w:val="24"/>
        </w:rPr>
        <w:t xml:space="preserve">oint, </w:t>
      </w:r>
      <w:r w:rsidR="400BC306" w:rsidRPr="064C8778">
        <w:rPr>
          <w:rFonts w:eastAsia="Times New Roman" w:cs="Times New Roman"/>
          <w:szCs w:val="24"/>
        </w:rPr>
        <w:t>after which t</w:t>
      </w:r>
      <w:r w:rsidR="08E87AA2" w:rsidRPr="064C8778">
        <w:rPr>
          <w:rFonts w:eastAsia="Times New Roman" w:cs="Times New Roman"/>
          <w:szCs w:val="24"/>
        </w:rPr>
        <w:t xml:space="preserve">he </w:t>
      </w:r>
      <w:r w:rsidR="00E57DAB">
        <w:rPr>
          <w:rFonts w:eastAsia="Times New Roman" w:cs="Times New Roman"/>
          <w:szCs w:val="24"/>
        </w:rPr>
        <w:t>District</w:t>
      </w:r>
      <w:r w:rsidR="08E87AA2" w:rsidRPr="064C8778">
        <w:rPr>
          <w:rFonts w:eastAsia="Times New Roman" w:cs="Times New Roman"/>
          <w:szCs w:val="24"/>
        </w:rPr>
        <w:t xml:space="preserve"> </w:t>
      </w:r>
      <w:r w:rsidR="00E57DAB">
        <w:rPr>
          <w:rFonts w:eastAsia="Times New Roman" w:cs="Times New Roman"/>
          <w:szCs w:val="24"/>
        </w:rPr>
        <w:t>Judge</w:t>
      </w:r>
      <w:r w:rsidR="08E87AA2" w:rsidRPr="064C8778">
        <w:rPr>
          <w:rFonts w:eastAsia="Times New Roman" w:cs="Times New Roman"/>
          <w:szCs w:val="24"/>
        </w:rPr>
        <w:t xml:space="preserve"> gave the following brief judgment on that point:</w:t>
      </w:r>
    </w:p>
    <w:p w14:paraId="0712B7C2" w14:textId="56065F1A" w:rsidR="00912E55" w:rsidRDefault="00912E55" w:rsidP="00027847">
      <w:pPr>
        <w:spacing w:after="240" w:line="240" w:lineRule="auto"/>
        <w:ind w:left="1418"/>
        <w:jc w:val="both"/>
        <w:rPr>
          <w:rFonts w:cs="Times New Roman"/>
          <w:szCs w:val="24"/>
        </w:rPr>
      </w:pPr>
      <w:r>
        <w:rPr>
          <w:rFonts w:cs="Times New Roman"/>
          <w:szCs w:val="24"/>
        </w:rPr>
        <w:t xml:space="preserve">“I am going to deal with the general point, Mr Marven, because I am not persuaded to change my mind for the reasons I gave.  I do not think that this piece of paper, as it is drafted, helps your argument, with respect.  It is a fairly confusing piece of paper, and I think it cannot be said with any clarity precisely what the bill constitutes.  It says there is a balance payable, but you have to do the maths.  The claim form seeks an assessment of the final bill and adds it up </w:t>
      </w:r>
      <w:r>
        <w:rPr>
          <w:rFonts w:cs="Times New Roman"/>
          <w:szCs w:val="24"/>
        </w:rPr>
        <w:lastRenderedPageBreak/>
        <w:t>at £2,731.90.  Although the assessment is limited to profit costs, I think anybody looking at that bill would struggle to say precisely what it was, but I think, on the basis of my previous decision and the reasons I gave, I cannot see any need to change what I said.  I stand by it.”</w:t>
      </w:r>
    </w:p>
    <w:p w14:paraId="0B50891B" w14:textId="52270488" w:rsidR="00EE0ED9" w:rsidRPr="00EE0ED9" w:rsidRDefault="00EE0ED9" w:rsidP="00AC6944">
      <w:pPr>
        <w:pStyle w:val="ListParagraph"/>
        <w:spacing w:after="240" w:line="240" w:lineRule="auto"/>
        <w:contextualSpacing w:val="0"/>
        <w:jc w:val="both"/>
        <w:rPr>
          <w:i/>
          <w:iCs/>
          <w:szCs w:val="24"/>
        </w:rPr>
      </w:pPr>
      <w:r>
        <w:rPr>
          <w:i/>
          <w:iCs/>
          <w:szCs w:val="24"/>
        </w:rPr>
        <w:t>(2)(g)(</w:t>
      </w:r>
      <w:r w:rsidR="009A6EDF">
        <w:rPr>
          <w:i/>
          <w:iCs/>
          <w:szCs w:val="24"/>
        </w:rPr>
        <w:t>i</w:t>
      </w:r>
      <w:r w:rsidR="00ED0402">
        <w:rPr>
          <w:i/>
          <w:iCs/>
          <w:szCs w:val="24"/>
        </w:rPr>
        <w:t>ii</w:t>
      </w:r>
      <w:r>
        <w:rPr>
          <w:i/>
          <w:iCs/>
          <w:szCs w:val="24"/>
        </w:rPr>
        <w:t>) Point 2</w:t>
      </w:r>
    </w:p>
    <w:p w14:paraId="613499B0" w14:textId="0CC88745" w:rsidR="009A6EDF" w:rsidRPr="009A6EDF" w:rsidRDefault="009A6EDF" w:rsidP="00AC6944">
      <w:pPr>
        <w:pStyle w:val="ListParagraph"/>
        <w:numPr>
          <w:ilvl w:val="0"/>
          <w:numId w:val="15"/>
        </w:numPr>
        <w:spacing w:after="240" w:line="240" w:lineRule="auto"/>
        <w:contextualSpacing w:val="0"/>
        <w:jc w:val="both"/>
        <w:rPr>
          <w:szCs w:val="24"/>
        </w:rPr>
      </w:pPr>
      <w:r>
        <w:rPr>
          <w:rFonts w:eastAsia="Times New Roman" w:cs="Times New Roman"/>
          <w:szCs w:val="24"/>
        </w:rPr>
        <w:t xml:space="preserve">I need </w:t>
      </w:r>
      <w:r w:rsidR="00CF2FB8">
        <w:rPr>
          <w:rFonts w:eastAsia="Times New Roman" w:cs="Times New Roman"/>
          <w:szCs w:val="24"/>
        </w:rPr>
        <w:t>not</w:t>
      </w:r>
      <w:r>
        <w:rPr>
          <w:rFonts w:eastAsia="Times New Roman" w:cs="Times New Roman"/>
          <w:szCs w:val="24"/>
        </w:rPr>
        <w:t xml:space="preserve"> set out all of the parties’ </w:t>
      </w:r>
      <w:r w:rsidR="00CF2FB8">
        <w:rPr>
          <w:rFonts w:eastAsia="Times New Roman" w:cs="Times New Roman"/>
          <w:szCs w:val="24"/>
        </w:rPr>
        <w:t>submissions</w:t>
      </w:r>
      <w:r>
        <w:rPr>
          <w:rFonts w:eastAsia="Times New Roman" w:cs="Times New Roman"/>
          <w:szCs w:val="24"/>
        </w:rPr>
        <w:t xml:space="preserve"> on Point 2 at the </w:t>
      </w:r>
      <w:r w:rsidR="00CF2FB8">
        <w:rPr>
          <w:rFonts w:eastAsia="Times New Roman" w:cs="Times New Roman"/>
          <w:szCs w:val="24"/>
        </w:rPr>
        <w:t>hearing</w:t>
      </w:r>
      <w:r>
        <w:rPr>
          <w:rFonts w:eastAsia="Times New Roman" w:cs="Times New Roman"/>
          <w:szCs w:val="24"/>
        </w:rPr>
        <w:t xml:space="preserve">, but it is relevant to </w:t>
      </w:r>
      <w:r w:rsidR="00CF2FB8">
        <w:rPr>
          <w:rFonts w:eastAsia="Times New Roman" w:cs="Times New Roman"/>
          <w:szCs w:val="24"/>
        </w:rPr>
        <w:t>note</w:t>
      </w:r>
      <w:r>
        <w:rPr>
          <w:rFonts w:eastAsia="Times New Roman" w:cs="Times New Roman"/>
          <w:szCs w:val="24"/>
        </w:rPr>
        <w:t xml:space="preserve"> that Mr Marven said as follows about the </w:t>
      </w:r>
      <w:r w:rsidR="00CF2FB8">
        <w:rPr>
          <w:rFonts w:eastAsia="Times New Roman" w:cs="Times New Roman"/>
          <w:szCs w:val="24"/>
        </w:rPr>
        <w:t>Claimant’s</w:t>
      </w:r>
      <w:r>
        <w:rPr>
          <w:rFonts w:eastAsia="Times New Roman" w:cs="Times New Roman"/>
          <w:szCs w:val="24"/>
        </w:rPr>
        <w:t xml:space="preserve"> alternative argument:</w:t>
      </w:r>
    </w:p>
    <w:p w14:paraId="17654F28" w14:textId="6F8F8D2A" w:rsidR="009A6EDF" w:rsidRPr="009A6EDF" w:rsidRDefault="00783E92" w:rsidP="00AC6944">
      <w:pPr>
        <w:spacing w:after="240" w:line="240" w:lineRule="auto"/>
        <w:ind w:left="1440"/>
        <w:jc w:val="both"/>
        <w:rPr>
          <w:szCs w:val="24"/>
        </w:rPr>
      </w:pPr>
      <w:r>
        <w:rPr>
          <w:szCs w:val="24"/>
        </w:rPr>
        <w:t xml:space="preserve">“But of course it is important not to lose sight of what one does under sub-rule (3).  It is a question of, </w:t>
      </w:r>
      <w:r w:rsidR="00CF2FB8">
        <w:rPr>
          <w:szCs w:val="24"/>
        </w:rPr>
        <w:t>firstly</w:t>
      </w:r>
      <w:r>
        <w:rPr>
          <w:szCs w:val="24"/>
        </w:rPr>
        <w:t xml:space="preserve">, what the presumption is.  Even if you say that I am the wrong side </w:t>
      </w:r>
      <w:r w:rsidR="00CF2FB8">
        <w:rPr>
          <w:szCs w:val="24"/>
        </w:rPr>
        <w:t>of</w:t>
      </w:r>
      <w:r>
        <w:rPr>
          <w:szCs w:val="24"/>
        </w:rPr>
        <w:t xml:space="preserve"> the presumption – this </w:t>
      </w:r>
      <w:r w:rsidR="00A83FDD">
        <w:rPr>
          <w:szCs w:val="24"/>
        </w:rPr>
        <w:t>(</w:t>
      </w:r>
      <w:r w:rsidR="00A83FDD" w:rsidRPr="00236157">
        <w:rPr>
          <w:i/>
          <w:iCs/>
          <w:szCs w:val="24"/>
        </w:rPr>
        <w:t>sic</w:t>
      </w:r>
      <w:r w:rsidR="00A83FDD">
        <w:rPr>
          <w:szCs w:val="24"/>
        </w:rPr>
        <w:t xml:space="preserve">) it </w:t>
      </w:r>
      <w:r w:rsidR="00CF2FB8">
        <w:rPr>
          <w:szCs w:val="24"/>
        </w:rPr>
        <w:t>is</w:t>
      </w:r>
      <w:r w:rsidR="00A83FDD">
        <w:rPr>
          <w:szCs w:val="24"/>
        </w:rPr>
        <w:t xml:space="preserve"> presumed to b</w:t>
      </w:r>
      <w:r w:rsidR="00236157">
        <w:rPr>
          <w:szCs w:val="24"/>
        </w:rPr>
        <w:t>e</w:t>
      </w:r>
      <w:r w:rsidR="00A83FDD">
        <w:rPr>
          <w:szCs w:val="24"/>
        </w:rPr>
        <w:t xml:space="preserve"> unreasonable – I would suggest that, once you have gone through this bill, you have assessed the hourly rates at whatever you think is right and you have reduced the time, that is not unreasonable any more.”</w:t>
      </w:r>
    </w:p>
    <w:p w14:paraId="729EDE1B" w14:textId="313CD06C" w:rsidR="002A21E8" w:rsidRPr="002A21E8" w:rsidRDefault="00A83FDD" w:rsidP="00AC6944">
      <w:pPr>
        <w:pStyle w:val="ListParagraph"/>
        <w:numPr>
          <w:ilvl w:val="0"/>
          <w:numId w:val="15"/>
        </w:numPr>
        <w:spacing w:after="240" w:line="240" w:lineRule="auto"/>
        <w:contextualSpacing w:val="0"/>
        <w:jc w:val="both"/>
        <w:rPr>
          <w:szCs w:val="24"/>
        </w:rPr>
      </w:pPr>
      <w:r>
        <w:rPr>
          <w:rFonts w:eastAsia="Times New Roman" w:cs="Times New Roman"/>
          <w:szCs w:val="24"/>
        </w:rPr>
        <w:t>T</w:t>
      </w:r>
      <w:r w:rsidR="2EA4D65D" w:rsidRPr="064C8778">
        <w:rPr>
          <w:rFonts w:eastAsia="Times New Roman" w:cs="Times New Roman"/>
          <w:szCs w:val="24"/>
        </w:rPr>
        <w:t xml:space="preserve">he </w:t>
      </w:r>
      <w:r w:rsidR="00236157">
        <w:rPr>
          <w:rFonts w:eastAsia="Times New Roman" w:cs="Times New Roman"/>
          <w:szCs w:val="24"/>
        </w:rPr>
        <w:t>d</w:t>
      </w:r>
      <w:r w:rsidR="00E57DAB">
        <w:rPr>
          <w:rFonts w:eastAsia="Times New Roman" w:cs="Times New Roman"/>
          <w:szCs w:val="24"/>
        </w:rPr>
        <w:t>istrict</w:t>
      </w:r>
      <w:r w:rsidR="2EA4D65D" w:rsidRPr="064C8778">
        <w:rPr>
          <w:rFonts w:eastAsia="Times New Roman" w:cs="Times New Roman"/>
          <w:szCs w:val="24"/>
        </w:rPr>
        <w:t xml:space="preserve"> </w:t>
      </w:r>
      <w:r w:rsidR="00236157">
        <w:rPr>
          <w:rFonts w:eastAsia="Times New Roman" w:cs="Times New Roman"/>
          <w:szCs w:val="24"/>
        </w:rPr>
        <w:t>j</w:t>
      </w:r>
      <w:r w:rsidR="00E57DAB">
        <w:rPr>
          <w:rFonts w:eastAsia="Times New Roman" w:cs="Times New Roman"/>
          <w:szCs w:val="24"/>
        </w:rPr>
        <w:t>udge</w:t>
      </w:r>
      <w:r w:rsidR="2EA4D65D" w:rsidRPr="064C8778">
        <w:rPr>
          <w:rFonts w:eastAsia="Times New Roman" w:cs="Times New Roman"/>
          <w:szCs w:val="24"/>
        </w:rPr>
        <w:t xml:space="preserve"> gave a short judgment in which h</w:t>
      </w:r>
      <w:r w:rsidR="73CBC014" w:rsidRPr="064C8778">
        <w:rPr>
          <w:rFonts w:eastAsia="Times New Roman" w:cs="Times New Roman"/>
          <w:szCs w:val="24"/>
        </w:rPr>
        <w:t>e</w:t>
      </w:r>
      <w:r w:rsidR="2EA4D65D" w:rsidRPr="064C8778">
        <w:rPr>
          <w:rFonts w:eastAsia="Times New Roman" w:cs="Times New Roman"/>
          <w:szCs w:val="24"/>
        </w:rPr>
        <w:t xml:space="preserve"> </w:t>
      </w:r>
      <w:r w:rsidR="2BAFAF8E" w:rsidRPr="064C8778">
        <w:rPr>
          <w:rFonts w:eastAsia="Times New Roman" w:cs="Times New Roman"/>
          <w:szCs w:val="24"/>
        </w:rPr>
        <w:t>held</w:t>
      </w:r>
      <w:r w:rsidR="2EA4D65D" w:rsidRPr="064C8778">
        <w:rPr>
          <w:rFonts w:eastAsia="Times New Roman" w:cs="Times New Roman"/>
          <w:szCs w:val="24"/>
        </w:rPr>
        <w:t xml:space="preserve"> that </w:t>
      </w:r>
      <w:r w:rsidR="00236157">
        <w:rPr>
          <w:rFonts w:eastAsia="Times New Roman" w:cs="Times New Roman"/>
          <w:szCs w:val="24"/>
        </w:rPr>
        <w:t>sub</w:t>
      </w:r>
      <w:r w:rsidR="2EA4D65D" w:rsidRPr="064C8778">
        <w:rPr>
          <w:rFonts w:eastAsia="Times New Roman" w:cs="Times New Roman"/>
          <w:szCs w:val="24"/>
        </w:rPr>
        <w:t>section 74(3) did no</w:t>
      </w:r>
      <w:r w:rsidR="2501B0B9" w:rsidRPr="064C8778">
        <w:rPr>
          <w:rFonts w:eastAsia="Times New Roman" w:cs="Times New Roman"/>
          <w:szCs w:val="24"/>
        </w:rPr>
        <w:t>t</w:t>
      </w:r>
      <w:r w:rsidR="2EA4D65D" w:rsidRPr="064C8778">
        <w:rPr>
          <w:rFonts w:eastAsia="Times New Roman" w:cs="Times New Roman"/>
          <w:szCs w:val="24"/>
        </w:rPr>
        <w:t xml:space="preserve"> apply to a claim brought under the Protocol unless </w:t>
      </w:r>
      <w:r w:rsidR="36EFEFAD" w:rsidRPr="064C8778">
        <w:rPr>
          <w:rFonts w:eastAsia="Times New Roman" w:cs="Times New Roman"/>
          <w:szCs w:val="24"/>
        </w:rPr>
        <w:t>the Claim</w:t>
      </w:r>
      <w:r w:rsidR="4083D02F" w:rsidRPr="064C8778">
        <w:rPr>
          <w:rFonts w:eastAsia="Times New Roman" w:cs="Times New Roman"/>
          <w:szCs w:val="24"/>
        </w:rPr>
        <w:t>a</w:t>
      </w:r>
      <w:r w:rsidR="36EFEFAD" w:rsidRPr="064C8778">
        <w:rPr>
          <w:rFonts w:eastAsia="Times New Roman" w:cs="Times New Roman"/>
          <w:szCs w:val="24"/>
        </w:rPr>
        <w:t xml:space="preserve">nt issued a claim form under the Stage 3 procedure.  </w:t>
      </w:r>
      <w:r w:rsidR="002A21E8">
        <w:rPr>
          <w:rFonts w:eastAsia="Times New Roman" w:cs="Times New Roman"/>
          <w:szCs w:val="24"/>
        </w:rPr>
        <w:t xml:space="preserve">In other words, he had changed his mind </w:t>
      </w:r>
      <w:r w:rsidR="00236157">
        <w:rPr>
          <w:rFonts w:eastAsia="Times New Roman" w:cs="Times New Roman"/>
          <w:szCs w:val="24"/>
        </w:rPr>
        <w:t xml:space="preserve">since the “on paper” assessment </w:t>
      </w:r>
      <w:r w:rsidR="002A21E8">
        <w:rPr>
          <w:rFonts w:eastAsia="Times New Roman" w:cs="Times New Roman"/>
          <w:szCs w:val="24"/>
        </w:rPr>
        <w:t xml:space="preserve">and </w:t>
      </w:r>
      <w:r w:rsidR="00236157">
        <w:rPr>
          <w:rFonts w:eastAsia="Times New Roman" w:cs="Times New Roman"/>
          <w:szCs w:val="24"/>
        </w:rPr>
        <w:t xml:space="preserve">he </w:t>
      </w:r>
      <w:r w:rsidR="002A21E8">
        <w:rPr>
          <w:rFonts w:eastAsia="Times New Roman" w:cs="Times New Roman"/>
          <w:szCs w:val="24"/>
        </w:rPr>
        <w:t xml:space="preserve">decided the construction issue in favour of the Defendant. </w:t>
      </w:r>
    </w:p>
    <w:p w14:paraId="5B97227B" w14:textId="015F2E9A" w:rsidR="5C52046B" w:rsidRPr="00912E55" w:rsidRDefault="36EFEFAD" w:rsidP="00AC6944">
      <w:pPr>
        <w:pStyle w:val="ListParagraph"/>
        <w:numPr>
          <w:ilvl w:val="0"/>
          <w:numId w:val="15"/>
        </w:numPr>
        <w:spacing w:after="240" w:line="240" w:lineRule="auto"/>
        <w:contextualSpacing w:val="0"/>
        <w:jc w:val="both"/>
        <w:rPr>
          <w:szCs w:val="24"/>
        </w:rPr>
      </w:pPr>
      <w:r w:rsidRPr="064C8778">
        <w:rPr>
          <w:rFonts w:eastAsia="Times New Roman" w:cs="Times New Roman"/>
          <w:szCs w:val="24"/>
        </w:rPr>
        <w:t>There wa</w:t>
      </w:r>
      <w:r w:rsidR="18A676C6" w:rsidRPr="064C8778">
        <w:rPr>
          <w:rFonts w:eastAsia="Times New Roman" w:cs="Times New Roman"/>
          <w:szCs w:val="24"/>
        </w:rPr>
        <w:t>s</w:t>
      </w:r>
      <w:r w:rsidRPr="064C8778">
        <w:rPr>
          <w:rFonts w:eastAsia="Times New Roman" w:cs="Times New Roman"/>
          <w:szCs w:val="24"/>
        </w:rPr>
        <w:t xml:space="preserve"> some uncertainty at the hearing wheth</w:t>
      </w:r>
      <w:r w:rsidR="32ADBC31" w:rsidRPr="064C8778">
        <w:rPr>
          <w:rFonts w:eastAsia="Times New Roman" w:cs="Times New Roman"/>
          <w:szCs w:val="24"/>
        </w:rPr>
        <w:t>e</w:t>
      </w:r>
      <w:r w:rsidRPr="064C8778">
        <w:rPr>
          <w:rFonts w:eastAsia="Times New Roman" w:cs="Times New Roman"/>
          <w:szCs w:val="24"/>
        </w:rPr>
        <w:t>r a cl</w:t>
      </w:r>
      <w:r w:rsidR="436B7C47" w:rsidRPr="064C8778">
        <w:rPr>
          <w:rFonts w:eastAsia="Times New Roman" w:cs="Times New Roman"/>
          <w:szCs w:val="24"/>
        </w:rPr>
        <w:t>a</w:t>
      </w:r>
      <w:r w:rsidRPr="064C8778">
        <w:rPr>
          <w:rFonts w:eastAsia="Times New Roman" w:cs="Times New Roman"/>
          <w:szCs w:val="24"/>
        </w:rPr>
        <w:t>im fo</w:t>
      </w:r>
      <w:r w:rsidR="5EFBFEF2" w:rsidRPr="064C8778">
        <w:rPr>
          <w:rFonts w:eastAsia="Times New Roman" w:cs="Times New Roman"/>
          <w:szCs w:val="24"/>
        </w:rPr>
        <w:t>r</w:t>
      </w:r>
      <w:r w:rsidRPr="064C8778">
        <w:rPr>
          <w:rFonts w:eastAsia="Times New Roman" w:cs="Times New Roman"/>
          <w:szCs w:val="24"/>
        </w:rPr>
        <w:t>m had bee</w:t>
      </w:r>
      <w:r w:rsidR="4C64D09F" w:rsidRPr="064C8778">
        <w:rPr>
          <w:rFonts w:eastAsia="Times New Roman" w:cs="Times New Roman"/>
          <w:szCs w:val="24"/>
        </w:rPr>
        <w:t>n</w:t>
      </w:r>
      <w:r w:rsidRPr="064C8778">
        <w:rPr>
          <w:rFonts w:eastAsia="Times New Roman" w:cs="Times New Roman"/>
          <w:szCs w:val="24"/>
        </w:rPr>
        <w:t xml:space="preserve"> issued, but</w:t>
      </w:r>
      <w:r w:rsidR="3DAAF82A" w:rsidRPr="064C8778">
        <w:rPr>
          <w:rFonts w:eastAsia="Times New Roman" w:cs="Times New Roman"/>
          <w:szCs w:val="24"/>
        </w:rPr>
        <w:t xml:space="preserve">, pursuant to directions given by the </w:t>
      </w:r>
      <w:r w:rsidR="00633036">
        <w:rPr>
          <w:rFonts w:eastAsia="Times New Roman" w:cs="Times New Roman"/>
          <w:szCs w:val="24"/>
        </w:rPr>
        <w:t>d</w:t>
      </w:r>
      <w:r w:rsidR="00E57DAB">
        <w:rPr>
          <w:rFonts w:eastAsia="Times New Roman" w:cs="Times New Roman"/>
          <w:szCs w:val="24"/>
        </w:rPr>
        <w:t>istrict</w:t>
      </w:r>
      <w:r w:rsidR="3DAAF82A" w:rsidRPr="064C8778">
        <w:rPr>
          <w:rFonts w:eastAsia="Times New Roman" w:cs="Times New Roman"/>
          <w:szCs w:val="24"/>
        </w:rPr>
        <w:t xml:space="preserve"> </w:t>
      </w:r>
      <w:r w:rsidR="00633036">
        <w:rPr>
          <w:rFonts w:eastAsia="Times New Roman" w:cs="Times New Roman"/>
          <w:szCs w:val="24"/>
        </w:rPr>
        <w:t>j</w:t>
      </w:r>
      <w:r w:rsidR="00E57DAB">
        <w:rPr>
          <w:rFonts w:eastAsia="Times New Roman" w:cs="Times New Roman"/>
          <w:szCs w:val="24"/>
        </w:rPr>
        <w:t>udge</w:t>
      </w:r>
      <w:r w:rsidR="3DAAF82A" w:rsidRPr="064C8778">
        <w:rPr>
          <w:rFonts w:eastAsia="Times New Roman" w:cs="Times New Roman"/>
          <w:szCs w:val="24"/>
        </w:rPr>
        <w:t>,</w:t>
      </w:r>
      <w:r w:rsidRPr="064C8778">
        <w:rPr>
          <w:rFonts w:eastAsia="Times New Roman" w:cs="Times New Roman"/>
          <w:szCs w:val="24"/>
        </w:rPr>
        <w:t xml:space="preserve"> the Def</w:t>
      </w:r>
      <w:r w:rsidR="6020CD8F" w:rsidRPr="064C8778">
        <w:rPr>
          <w:rFonts w:eastAsia="Times New Roman" w:cs="Times New Roman"/>
          <w:szCs w:val="24"/>
        </w:rPr>
        <w:t>endant subsequently filed a witness statement confirming that no claim form had been issued.</w:t>
      </w:r>
    </w:p>
    <w:p w14:paraId="0AAC1AA3" w14:textId="77777777" w:rsidR="00633036" w:rsidRPr="00633036" w:rsidRDefault="36EFEFAD" w:rsidP="00AC6944">
      <w:pPr>
        <w:pStyle w:val="ListParagraph"/>
        <w:numPr>
          <w:ilvl w:val="0"/>
          <w:numId w:val="15"/>
        </w:numPr>
        <w:spacing w:after="240" w:line="240" w:lineRule="auto"/>
        <w:contextualSpacing w:val="0"/>
        <w:jc w:val="both"/>
        <w:rPr>
          <w:szCs w:val="24"/>
        </w:rPr>
      </w:pPr>
      <w:r w:rsidRPr="064C8778">
        <w:rPr>
          <w:rFonts w:eastAsia="Times New Roman" w:cs="Times New Roman"/>
          <w:szCs w:val="24"/>
        </w:rPr>
        <w:t xml:space="preserve">However, the </w:t>
      </w:r>
      <w:r w:rsidR="00633036">
        <w:rPr>
          <w:rFonts w:eastAsia="Times New Roman" w:cs="Times New Roman"/>
          <w:szCs w:val="24"/>
        </w:rPr>
        <w:t>d</w:t>
      </w:r>
      <w:r w:rsidR="00E57DAB">
        <w:rPr>
          <w:rFonts w:eastAsia="Times New Roman" w:cs="Times New Roman"/>
          <w:szCs w:val="24"/>
        </w:rPr>
        <w:t>istrict</w:t>
      </w:r>
      <w:r w:rsidR="32890DC4" w:rsidRPr="064C8778">
        <w:rPr>
          <w:rFonts w:eastAsia="Times New Roman" w:cs="Times New Roman"/>
          <w:szCs w:val="24"/>
        </w:rPr>
        <w:t xml:space="preserve"> </w:t>
      </w:r>
      <w:r w:rsidR="00633036">
        <w:rPr>
          <w:rFonts w:eastAsia="Times New Roman" w:cs="Times New Roman"/>
          <w:szCs w:val="24"/>
        </w:rPr>
        <w:t>j</w:t>
      </w:r>
      <w:r w:rsidR="00E57DAB">
        <w:rPr>
          <w:rFonts w:eastAsia="Times New Roman" w:cs="Times New Roman"/>
          <w:szCs w:val="24"/>
        </w:rPr>
        <w:t>udge</w:t>
      </w:r>
      <w:r w:rsidR="32890DC4" w:rsidRPr="064C8778">
        <w:rPr>
          <w:rFonts w:eastAsia="Times New Roman" w:cs="Times New Roman"/>
          <w:szCs w:val="24"/>
        </w:rPr>
        <w:t xml:space="preserve"> went on to deal </w:t>
      </w:r>
      <w:r w:rsidR="32539FE0" w:rsidRPr="064C8778">
        <w:rPr>
          <w:rFonts w:eastAsia="Times New Roman" w:cs="Times New Roman"/>
          <w:szCs w:val="24"/>
        </w:rPr>
        <w:t xml:space="preserve">in his judgment </w:t>
      </w:r>
      <w:r w:rsidR="32890DC4" w:rsidRPr="064C8778">
        <w:rPr>
          <w:rFonts w:eastAsia="Times New Roman" w:cs="Times New Roman"/>
          <w:szCs w:val="24"/>
        </w:rPr>
        <w:t>with</w:t>
      </w:r>
      <w:r w:rsidR="00633036">
        <w:rPr>
          <w:rFonts w:eastAsia="Times New Roman" w:cs="Times New Roman"/>
          <w:szCs w:val="24"/>
        </w:rPr>
        <w:t>:</w:t>
      </w:r>
      <w:r w:rsidR="4BFE17D4" w:rsidRPr="064C8778">
        <w:rPr>
          <w:rFonts w:eastAsia="Times New Roman" w:cs="Times New Roman"/>
          <w:szCs w:val="24"/>
        </w:rPr>
        <w:t xml:space="preserve"> </w:t>
      </w:r>
    </w:p>
    <w:p w14:paraId="7B40B569" w14:textId="1FDF8123" w:rsidR="00633036" w:rsidRPr="00633036" w:rsidRDefault="00633036" w:rsidP="00AC6944">
      <w:pPr>
        <w:pStyle w:val="ListParagraph"/>
        <w:numPr>
          <w:ilvl w:val="1"/>
          <w:numId w:val="15"/>
        </w:numPr>
        <w:spacing w:after="240" w:line="240" w:lineRule="auto"/>
        <w:contextualSpacing w:val="0"/>
        <w:jc w:val="both"/>
        <w:rPr>
          <w:szCs w:val="24"/>
        </w:rPr>
      </w:pPr>
      <w:r>
        <w:rPr>
          <w:rFonts w:eastAsia="Times New Roman" w:cs="Times New Roman"/>
          <w:szCs w:val="24"/>
        </w:rPr>
        <w:t>the Defendant’s submission that its costs were presumed to be reasonable pursuant to CPR 46.9(3)(a) &amp; (b); and</w:t>
      </w:r>
    </w:p>
    <w:p w14:paraId="05D4C926" w14:textId="542C9AD8" w:rsidR="00633036" w:rsidRPr="00633036" w:rsidRDefault="32890DC4" w:rsidP="00AC6944">
      <w:pPr>
        <w:pStyle w:val="ListParagraph"/>
        <w:numPr>
          <w:ilvl w:val="1"/>
          <w:numId w:val="15"/>
        </w:numPr>
        <w:spacing w:after="240" w:line="240" w:lineRule="auto"/>
        <w:contextualSpacing w:val="0"/>
        <w:jc w:val="both"/>
        <w:rPr>
          <w:szCs w:val="24"/>
        </w:rPr>
      </w:pPr>
      <w:r w:rsidRPr="064C8778">
        <w:rPr>
          <w:rFonts w:eastAsia="Times New Roman" w:cs="Times New Roman"/>
          <w:szCs w:val="24"/>
        </w:rPr>
        <w:t>th</w:t>
      </w:r>
      <w:r w:rsidR="2A9169E7" w:rsidRPr="064C8778">
        <w:rPr>
          <w:rFonts w:eastAsia="Times New Roman" w:cs="Times New Roman"/>
          <w:szCs w:val="24"/>
        </w:rPr>
        <w:t>e</w:t>
      </w:r>
      <w:r w:rsidRPr="064C8778">
        <w:rPr>
          <w:rFonts w:eastAsia="Times New Roman" w:cs="Times New Roman"/>
          <w:szCs w:val="24"/>
        </w:rPr>
        <w:t xml:space="preserve"> </w:t>
      </w:r>
      <w:r w:rsidR="15CB7096" w:rsidRPr="064C8778">
        <w:rPr>
          <w:rFonts w:eastAsia="Times New Roman" w:cs="Times New Roman"/>
          <w:szCs w:val="24"/>
        </w:rPr>
        <w:t>submission made i</w:t>
      </w:r>
      <w:r w:rsidRPr="064C8778">
        <w:rPr>
          <w:rFonts w:eastAsia="Times New Roman" w:cs="Times New Roman"/>
          <w:szCs w:val="24"/>
        </w:rPr>
        <w:t>n</w:t>
      </w:r>
      <w:r w:rsidR="751DE32E" w:rsidRPr="064C8778">
        <w:rPr>
          <w:rFonts w:eastAsia="Times New Roman" w:cs="Times New Roman"/>
          <w:szCs w:val="24"/>
        </w:rPr>
        <w:t xml:space="preserve"> </w:t>
      </w:r>
      <w:r w:rsidRPr="064C8778">
        <w:rPr>
          <w:rFonts w:eastAsia="Times New Roman" w:cs="Times New Roman"/>
          <w:szCs w:val="24"/>
        </w:rPr>
        <w:t>paragraph 36 of the Claim</w:t>
      </w:r>
      <w:r w:rsidR="7376A6DC" w:rsidRPr="064C8778">
        <w:rPr>
          <w:rFonts w:eastAsia="Times New Roman" w:cs="Times New Roman"/>
          <w:szCs w:val="24"/>
        </w:rPr>
        <w:t>a</w:t>
      </w:r>
      <w:r w:rsidRPr="064C8778">
        <w:rPr>
          <w:rFonts w:eastAsia="Times New Roman" w:cs="Times New Roman"/>
          <w:szCs w:val="24"/>
        </w:rPr>
        <w:t xml:space="preserve">nt’s skeleton argument that </w:t>
      </w:r>
      <w:r w:rsidR="468877C7" w:rsidRPr="064C8778">
        <w:rPr>
          <w:rFonts w:eastAsia="Times New Roman" w:cs="Times New Roman"/>
          <w:szCs w:val="24"/>
        </w:rPr>
        <w:t>t</w:t>
      </w:r>
      <w:r w:rsidRPr="064C8778">
        <w:rPr>
          <w:rFonts w:eastAsia="Times New Roman" w:cs="Times New Roman"/>
          <w:szCs w:val="24"/>
        </w:rPr>
        <w:t xml:space="preserve">he </w:t>
      </w:r>
      <w:r w:rsidR="00633036">
        <w:rPr>
          <w:rFonts w:eastAsia="Times New Roman" w:cs="Times New Roman"/>
          <w:szCs w:val="24"/>
        </w:rPr>
        <w:t>d</w:t>
      </w:r>
      <w:r w:rsidR="00E57DAB">
        <w:rPr>
          <w:rFonts w:eastAsia="Times New Roman" w:cs="Times New Roman"/>
          <w:szCs w:val="24"/>
        </w:rPr>
        <w:t>istrict</w:t>
      </w:r>
      <w:r w:rsidR="20FBF847" w:rsidRPr="064C8778">
        <w:rPr>
          <w:rFonts w:eastAsia="Times New Roman" w:cs="Times New Roman"/>
          <w:szCs w:val="24"/>
        </w:rPr>
        <w:t xml:space="preserve"> </w:t>
      </w:r>
      <w:r w:rsidR="00633036">
        <w:rPr>
          <w:rFonts w:eastAsia="Times New Roman" w:cs="Times New Roman"/>
          <w:szCs w:val="24"/>
        </w:rPr>
        <w:t>j</w:t>
      </w:r>
      <w:r w:rsidR="00E57DAB">
        <w:rPr>
          <w:rFonts w:eastAsia="Times New Roman" w:cs="Times New Roman"/>
          <w:szCs w:val="24"/>
        </w:rPr>
        <w:t>udge</w:t>
      </w:r>
      <w:r w:rsidR="20FBF847" w:rsidRPr="064C8778">
        <w:rPr>
          <w:rFonts w:eastAsia="Times New Roman" w:cs="Times New Roman"/>
          <w:szCs w:val="24"/>
        </w:rPr>
        <w:t xml:space="preserve"> </w:t>
      </w:r>
      <w:r w:rsidRPr="064C8778">
        <w:rPr>
          <w:rFonts w:eastAsia="Times New Roman" w:cs="Times New Roman"/>
          <w:szCs w:val="24"/>
        </w:rPr>
        <w:t>could</w:t>
      </w:r>
      <w:r w:rsidR="71480A3E" w:rsidRPr="064C8778">
        <w:rPr>
          <w:rFonts w:eastAsia="Times New Roman" w:cs="Times New Roman"/>
          <w:szCs w:val="24"/>
        </w:rPr>
        <w:t>, by the application of CPR 46.9(3)</w:t>
      </w:r>
      <w:r w:rsidR="007ED482" w:rsidRPr="064C8778">
        <w:rPr>
          <w:rFonts w:eastAsia="Times New Roman" w:cs="Times New Roman"/>
          <w:szCs w:val="24"/>
        </w:rPr>
        <w:t>(c),</w:t>
      </w:r>
      <w:r w:rsidRPr="064C8778">
        <w:rPr>
          <w:rFonts w:eastAsia="Times New Roman" w:cs="Times New Roman"/>
          <w:szCs w:val="24"/>
        </w:rPr>
        <w:t xml:space="preserve"> </w:t>
      </w:r>
      <w:r w:rsidR="5436C7B5" w:rsidRPr="064C8778">
        <w:rPr>
          <w:rFonts w:eastAsia="Times New Roman" w:cs="Times New Roman"/>
          <w:szCs w:val="24"/>
        </w:rPr>
        <w:t>r</w:t>
      </w:r>
      <w:r w:rsidRPr="064C8778">
        <w:rPr>
          <w:rFonts w:eastAsia="Times New Roman" w:cs="Times New Roman"/>
          <w:szCs w:val="24"/>
        </w:rPr>
        <w:t xml:space="preserve">each the same result as he would have reached </w:t>
      </w:r>
      <w:r w:rsidR="62AD7F9D" w:rsidRPr="064C8778">
        <w:rPr>
          <w:rFonts w:eastAsia="Times New Roman" w:cs="Times New Roman"/>
          <w:szCs w:val="24"/>
        </w:rPr>
        <w:t xml:space="preserve">if he had found that </w:t>
      </w:r>
      <w:r w:rsidR="00633036">
        <w:rPr>
          <w:rFonts w:eastAsia="Times New Roman" w:cs="Times New Roman"/>
          <w:szCs w:val="24"/>
        </w:rPr>
        <w:t>sub</w:t>
      </w:r>
      <w:r w:rsidR="62AD7F9D" w:rsidRPr="064C8778">
        <w:rPr>
          <w:rFonts w:eastAsia="Times New Roman" w:cs="Times New Roman"/>
          <w:szCs w:val="24"/>
        </w:rPr>
        <w:t>se</w:t>
      </w:r>
      <w:r w:rsidR="36EFEFAD" w:rsidRPr="064C8778">
        <w:rPr>
          <w:rFonts w:eastAsia="Times New Roman" w:cs="Times New Roman"/>
          <w:szCs w:val="24"/>
        </w:rPr>
        <w:t xml:space="preserve">ction 74(3) </w:t>
      </w:r>
      <w:r w:rsidR="035B0D05" w:rsidRPr="064C8778">
        <w:rPr>
          <w:rFonts w:eastAsia="Times New Roman" w:cs="Times New Roman"/>
          <w:szCs w:val="24"/>
        </w:rPr>
        <w:t xml:space="preserve">applied.  </w:t>
      </w:r>
    </w:p>
    <w:p w14:paraId="5ED7D27F" w14:textId="7BEE3A3E" w:rsidR="36EFEFAD" w:rsidRDefault="5CD7359B" w:rsidP="00AC6944">
      <w:pPr>
        <w:pStyle w:val="ListParagraph"/>
        <w:numPr>
          <w:ilvl w:val="0"/>
          <w:numId w:val="15"/>
        </w:numPr>
        <w:spacing w:after="240" w:line="240" w:lineRule="auto"/>
        <w:jc w:val="both"/>
        <w:rPr>
          <w:szCs w:val="24"/>
        </w:rPr>
      </w:pPr>
      <w:r w:rsidRPr="064C8778">
        <w:rPr>
          <w:rFonts w:eastAsia="Times New Roman" w:cs="Times New Roman"/>
          <w:szCs w:val="24"/>
        </w:rPr>
        <w:t xml:space="preserve">The </w:t>
      </w:r>
      <w:r w:rsidR="00633036">
        <w:rPr>
          <w:rFonts w:eastAsia="Times New Roman" w:cs="Times New Roman"/>
          <w:szCs w:val="24"/>
        </w:rPr>
        <w:t>d</w:t>
      </w:r>
      <w:r w:rsidR="00E57DAB">
        <w:rPr>
          <w:rFonts w:eastAsia="Times New Roman" w:cs="Times New Roman"/>
          <w:szCs w:val="24"/>
        </w:rPr>
        <w:t>istrict</w:t>
      </w:r>
      <w:r w:rsidRPr="064C8778">
        <w:rPr>
          <w:rFonts w:eastAsia="Times New Roman" w:cs="Times New Roman"/>
          <w:szCs w:val="24"/>
        </w:rPr>
        <w:t xml:space="preserve"> </w:t>
      </w:r>
      <w:r w:rsidR="00633036">
        <w:rPr>
          <w:rFonts w:eastAsia="Times New Roman" w:cs="Times New Roman"/>
          <w:szCs w:val="24"/>
        </w:rPr>
        <w:t>j</w:t>
      </w:r>
      <w:r w:rsidR="00E57DAB">
        <w:rPr>
          <w:rFonts w:eastAsia="Times New Roman" w:cs="Times New Roman"/>
          <w:szCs w:val="24"/>
        </w:rPr>
        <w:t>udge</w:t>
      </w:r>
      <w:r w:rsidRPr="064C8778">
        <w:rPr>
          <w:rFonts w:eastAsia="Times New Roman" w:cs="Times New Roman"/>
          <w:szCs w:val="24"/>
        </w:rPr>
        <w:t xml:space="preserve"> said as follows in his judgment:</w:t>
      </w:r>
    </w:p>
    <w:p w14:paraId="21F49C96" w14:textId="77777777" w:rsidR="00912E55" w:rsidRDefault="00912E55" w:rsidP="00AC6944">
      <w:pPr>
        <w:spacing w:after="120" w:line="240" w:lineRule="auto"/>
        <w:ind w:left="2161" w:hanging="743"/>
        <w:jc w:val="both"/>
        <w:rPr>
          <w:rFonts w:cs="Times New Roman"/>
          <w:szCs w:val="24"/>
        </w:rPr>
      </w:pPr>
      <w:r>
        <w:rPr>
          <w:rFonts w:cs="Times New Roman"/>
          <w:szCs w:val="24"/>
        </w:rPr>
        <w:t>“5.</w:t>
      </w:r>
      <w:r>
        <w:rPr>
          <w:rFonts w:cs="Times New Roman"/>
          <w:szCs w:val="24"/>
        </w:rPr>
        <w:tab/>
        <w:t xml:space="preserve">So where does that take me in relation to this review and the thorny problem of informed consent?  It remains my view, because it is supported by the judicial authority in </w:t>
      </w:r>
      <w:r w:rsidRPr="008604D0">
        <w:rPr>
          <w:rFonts w:cs="Times New Roman"/>
          <w:i/>
          <w:szCs w:val="24"/>
        </w:rPr>
        <w:t xml:space="preserve">MacDougall </w:t>
      </w:r>
      <w:r w:rsidRPr="00633036">
        <w:rPr>
          <w:rFonts w:cs="Times New Roman"/>
          <w:iCs/>
          <w:szCs w:val="24"/>
        </w:rPr>
        <w:t>and</w:t>
      </w:r>
      <w:r w:rsidRPr="008604D0">
        <w:rPr>
          <w:rFonts w:cs="Times New Roman"/>
          <w:i/>
          <w:szCs w:val="24"/>
        </w:rPr>
        <w:t xml:space="preserve"> Herbert</w:t>
      </w:r>
      <w:r>
        <w:rPr>
          <w:rFonts w:cs="Times New Roman"/>
          <w:szCs w:val="24"/>
        </w:rPr>
        <w:t>, that it is not possible to rely solely upon a piece of paper exchanged between solicitor and client as express consent when matters, for example, in relation to hourly rates, time spent and success fees are being discussed.</w:t>
      </w:r>
    </w:p>
    <w:p w14:paraId="54324D25" w14:textId="77777777" w:rsidR="00912E55" w:rsidRDefault="00912E55" w:rsidP="00AC6944">
      <w:pPr>
        <w:spacing w:after="120" w:line="240" w:lineRule="auto"/>
        <w:ind w:left="2161" w:hanging="743"/>
        <w:jc w:val="both"/>
        <w:rPr>
          <w:rFonts w:cs="Times New Roman"/>
          <w:szCs w:val="24"/>
        </w:rPr>
      </w:pPr>
      <w:r>
        <w:rPr>
          <w:rFonts w:cs="Times New Roman"/>
          <w:szCs w:val="24"/>
        </w:rPr>
        <w:t>6.</w:t>
      </w:r>
      <w:r>
        <w:rPr>
          <w:rFonts w:cs="Times New Roman"/>
          <w:szCs w:val="24"/>
        </w:rPr>
        <w:tab/>
        <w:t xml:space="preserve">It is very difficult to imagine a scenario where a lay client who is not well versed in the litigation process can be said to have sufficient information to approve, whether expressly or impliedly, without seeing an explanation.  Simply to say “My hourly rate is X” is in my view not sufficient.  There are no guidelines available for the lay client in relation to fixed recoverable costs, for example, and there is no real explanation for informed consent to be given.  “A full and fair exposition” are the </w:t>
      </w:r>
      <w:r>
        <w:rPr>
          <w:rFonts w:cs="Times New Roman"/>
          <w:szCs w:val="24"/>
        </w:rPr>
        <w:lastRenderedPageBreak/>
        <w:t>words used by Holland J, and I do not think I can improve upon those.  This is a case where there is no explanation of the fixed recoverable charges.  A client cannot do his own assessment of what his likely contribution is to be, particularly when the agreement is capable of interpretation, entitling the solicitor to recover all of their basic charges.</w:t>
      </w:r>
    </w:p>
    <w:p w14:paraId="5CFF031F" w14:textId="1980D017" w:rsidR="00912E55" w:rsidRDefault="00912E55" w:rsidP="00AC6944">
      <w:pPr>
        <w:spacing w:after="120" w:line="240" w:lineRule="auto"/>
        <w:ind w:left="2161" w:hanging="743"/>
        <w:jc w:val="both"/>
        <w:rPr>
          <w:rFonts w:cs="Times New Roman"/>
          <w:szCs w:val="24"/>
        </w:rPr>
      </w:pPr>
      <w:r>
        <w:rPr>
          <w:rFonts w:cs="Times New Roman"/>
          <w:szCs w:val="24"/>
        </w:rPr>
        <w:t>7.</w:t>
      </w:r>
      <w:r>
        <w:rPr>
          <w:rFonts w:cs="Times New Roman"/>
          <w:szCs w:val="24"/>
        </w:rPr>
        <w:tab/>
        <w:t xml:space="preserve">I, for those reasons, am of the view that the question of informed consent does require to be addressed before it can be said that any agreement can be enforced.  I think I would come to exactly the same conclusion even if section 74(3) is not engaged, and, if we go, effectively, to the suggestion that under 46.9 the presumptions are there, I think it is easy to recognise that, as I indicated, for example, an hourly rate of £165 </w:t>
      </w:r>
      <w:r w:rsidR="00633036">
        <w:rPr>
          <w:rFonts w:cs="Times New Roman"/>
          <w:szCs w:val="24"/>
        </w:rPr>
        <w:t>(</w:t>
      </w:r>
      <w:r w:rsidR="00633036">
        <w:rPr>
          <w:rFonts w:cs="Times New Roman"/>
          <w:i/>
          <w:iCs/>
          <w:szCs w:val="24"/>
        </w:rPr>
        <w:t>sic</w:t>
      </w:r>
      <w:r w:rsidR="00633036">
        <w:rPr>
          <w:rFonts w:cs="Times New Roman"/>
          <w:szCs w:val="24"/>
        </w:rPr>
        <w:t xml:space="preserve">) </w:t>
      </w:r>
      <w:r>
        <w:rPr>
          <w:rFonts w:cs="Times New Roman"/>
          <w:szCs w:val="24"/>
        </w:rPr>
        <w:t>for a Grade D fee earner might be deemed to be unusual in amount when most, if not all, low-value RTA cases are dealt with by Grade D fee earners and the courts are well aware of seeing rates between £111 and £125.</w:t>
      </w:r>
    </w:p>
    <w:p w14:paraId="101230FB" w14:textId="6D4CB8C5" w:rsidR="00912E55" w:rsidRDefault="00912E55" w:rsidP="00AC6944">
      <w:pPr>
        <w:spacing w:after="0" w:line="240" w:lineRule="auto"/>
        <w:ind w:left="2158" w:hanging="740"/>
        <w:jc w:val="both"/>
        <w:rPr>
          <w:rFonts w:cs="Times New Roman"/>
          <w:szCs w:val="24"/>
        </w:rPr>
      </w:pPr>
      <w:r>
        <w:rPr>
          <w:rFonts w:cs="Times New Roman"/>
          <w:szCs w:val="24"/>
        </w:rPr>
        <w:t>8.</w:t>
      </w:r>
      <w:r>
        <w:rPr>
          <w:rFonts w:cs="Times New Roman"/>
          <w:szCs w:val="24"/>
        </w:rPr>
        <w:tab/>
        <w:t xml:space="preserve">Similarly, again with regard to the lack of information on fixed recoverable fees, that similarly impacts on any agreement that might be relied upon on </w:t>
      </w:r>
      <w:r w:rsidR="00633036">
        <w:rPr>
          <w:rFonts w:cs="Times New Roman"/>
          <w:szCs w:val="24"/>
        </w:rPr>
        <w:t>(</w:t>
      </w:r>
      <w:r w:rsidR="00633036">
        <w:rPr>
          <w:rFonts w:cs="Times New Roman"/>
          <w:i/>
          <w:iCs/>
          <w:szCs w:val="24"/>
        </w:rPr>
        <w:t>sic</w:t>
      </w:r>
      <w:r w:rsidR="00633036">
        <w:rPr>
          <w:rFonts w:cs="Times New Roman"/>
          <w:szCs w:val="24"/>
        </w:rPr>
        <w:t xml:space="preserve">) </w:t>
      </w:r>
      <w:r>
        <w:rPr>
          <w:rFonts w:cs="Times New Roman"/>
          <w:szCs w:val="24"/>
        </w:rPr>
        <w:t>46.9(3).  So, in short, save on</w:t>
      </w:r>
      <w:r w:rsidR="00633036">
        <w:rPr>
          <w:rFonts w:cs="Times New Roman"/>
          <w:szCs w:val="24"/>
        </w:rPr>
        <w:t>ly</w:t>
      </w:r>
      <w:r>
        <w:rPr>
          <w:rFonts w:cs="Times New Roman"/>
          <w:szCs w:val="24"/>
        </w:rPr>
        <w:t xml:space="preserve"> that I might have changed my mind if I see sufficient evidence that there have been no issued proceedings on what I first said, I think the issue of informed consent is now relevant when that is being considered, 46.9 as well as 74(3).”</w:t>
      </w:r>
    </w:p>
    <w:p w14:paraId="26B16015" w14:textId="77777777" w:rsidR="00912E55" w:rsidRDefault="00912E55" w:rsidP="00AC6944">
      <w:pPr>
        <w:spacing w:after="0" w:line="240" w:lineRule="auto"/>
        <w:ind w:left="2158" w:hanging="740"/>
        <w:jc w:val="both"/>
        <w:rPr>
          <w:rFonts w:cs="Times New Roman"/>
          <w:szCs w:val="24"/>
        </w:rPr>
      </w:pPr>
    </w:p>
    <w:p w14:paraId="09978256" w14:textId="0559978C" w:rsidR="2D94852E" w:rsidRDefault="2D94852E" w:rsidP="00AC6944">
      <w:pPr>
        <w:pStyle w:val="ListParagraph"/>
        <w:numPr>
          <w:ilvl w:val="0"/>
          <w:numId w:val="15"/>
        </w:numPr>
        <w:spacing w:after="240" w:line="240" w:lineRule="auto"/>
        <w:jc w:val="both"/>
        <w:rPr>
          <w:szCs w:val="24"/>
        </w:rPr>
      </w:pPr>
      <w:r w:rsidRPr="064C8778">
        <w:rPr>
          <w:rFonts w:eastAsia="Times New Roman" w:cs="Times New Roman"/>
          <w:szCs w:val="24"/>
        </w:rPr>
        <w:t xml:space="preserve">There was then a brief discussion as to the effect of the </w:t>
      </w:r>
      <w:r w:rsidR="00076CC0">
        <w:rPr>
          <w:rFonts w:eastAsia="Times New Roman" w:cs="Times New Roman"/>
          <w:szCs w:val="24"/>
        </w:rPr>
        <w:t>d</w:t>
      </w:r>
      <w:r w:rsidR="00E57DAB">
        <w:rPr>
          <w:rFonts w:eastAsia="Times New Roman" w:cs="Times New Roman"/>
          <w:szCs w:val="24"/>
        </w:rPr>
        <w:t>istrict</w:t>
      </w:r>
      <w:r w:rsidRPr="064C8778">
        <w:rPr>
          <w:rFonts w:eastAsia="Times New Roman" w:cs="Times New Roman"/>
          <w:szCs w:val="24"/>
        </w:rPr>
        <w:t xml:space="preserve"> </w:t>
      </w:r>
      <w:r w:rsidR="00076CC0">
        <w:rPr>
          <w:rFonts w:eastAsia="Times New Roman" w:cs="Times New Roman"/>
          <w:szCs w:val="24"/>
        </w:rPr>
        <w:t>j</w:t>
      </w:r>
      <w:r w:rsidR="00E57DAB">
        <w:rPr>
          <w:rFonts w:eastAsia="Times New Roman" w:cs="Times New Roman"/>
          <w:szCs w:val="24"/>
        </w:rPr>
        <w:t>udge</w:t>
      </w:r>
      <w:r w:rsidRPr="064C8778">
        <w:rPr>
          <w:rFonts w:eastAsia="Times New Roman" w:cs="Times New Roman"/>
          <w:szCs w:val="24"/>
        </w:rPr>
        <w:t>’s judgment, as follows:</w:t>
      </w:r>
    </w:p>
    <w:p w14:paraId="0940B36C" w14:textId="77777777" w:rsidR="00837276" w:rsidRDefault="00837276" w:rsidP="00AC6944">
      <w:pPr>
        <w:spacing w:after="120" w:line="240" w:lineRule="auto"/>
        <w:ind w:left="3595" w:hanging="2177"/>
        <w:jc w:val="both"/>
        <w:rPr>
          <w:rFonts w:cs="Times New Roman"/>
          <w:szCs w:val="24"/>
        </w:rPr>
      </w:pPr>
      <w:r>
        <w:rPr>
          <w:rFonts w:cs="Times New Roman"/>
          <w:szCs w:val="24"/>
        </w:rPr>
        <w:t>“MR MARVEN QC:</w:t>
      </w:r>
      <w:r>
        <w:rPr>
          <w:rFonts w:cs="Times New Roman"/>
          <w:szCs w:val="24"/>
        </w:rPr>
        <w:tab/>
        <w:t>Sorry, can I ask what may be a slow question?  Obviously, if there are issued proceedings, I entirely follow that I have lost on that.</w:t>
      </w:r>
    </w:p>
    <w:p w14:paraId="122FE751" w14:textId="3A35BF88" w:rsidR="00837276" w:rsidRDefault="00E57DAB" w:rsidP="00AC6944">
      <w:pPr>
        <w:spacing w:after="120" w:line="240" w:lineRule="auto"/>
        <w:ind w:left="3595" w:hanging="2177"/>
        <w:jc w:val="both"/>
        <w:rPr>
          <w:rFonts w:cs="Times New Roman"/>
          <w:szCs w:val="24"/>
        </w:rPr>
      </w:pPr>
      <w:r>
        <w:rPr>
          <w:rFonts w:cs="Times New Roman"/>
          <w:szCs w:val="24"/>
        </w:rPr>
        <w:t>JUDGE</w:t>
      </w:r>
      <w:r w:rsidR="00837276">
        <w:rPr>
          <w:rFonts w:cs="Times New Roman"/>
          <w:szCs w:val="24"/>
        </w:rPr>
        <w:t xml:space="preserve"> BELLAMY:</w:t>
      </w:r>
      <w:r w:rsidR="00837276">
        <w:rPr>
          <w:rFonts w:cs="Times New Roman"/>
          <w:szCs w:val="24"/>
        </w:rPr>
        <w:tab/>
        <w:t>Yes.</w:t>
      </w:r>
    </w:p>
    <w:p w14:paraId="52C9C0ED" w14:textId="77777777" w:rsidR="00837276" w:rsidRDefault="00837276" w:rsidP="00AC6944">
      <w:pPr>
        <w:spacing w:after="120" w:line="240" w:lineRule="auto"/>
        <w:ind w:left="3595" w:hanging="2177"/>
        <w:jc w:val="both"/>
        <w:rPr>
          <w:rFonts w:cs="Times New Roman"/>
          <w:szCs w:val="24"/>
        </w:rPr>
      </w:pPr>
      <w:r>
        <w:rPr>
          <w:rFonts w:cs="Times New Roman"/>
          <w:szCs w:val="24"/>
        </w:rPr>
        <w:t>MR MARVEN QC:</w:t>
      </w:r>
      <w:r>
        <w:rPr>
          <w:rFonts w:cs="Times New Roman"/>
          <w:szCs w:val="24"/>
        </w:rPr>
        <w:tab/>
        <w:t>If there were not issued proceedings, am I to understand your judgment ----</w:t>
      </w:r>
    </w:p>
    <w:p w14:paraId="20FB2E46" w14:textId="48B06218" w:rsidR="00837276" w:rsidRDefault="00E57DAB" w:rsidP="00AC6944">
      <w:pPr>
        <w:spacing w:after="120" w:line="240" w:lineRule="auto"/>
        <w:ind w:left="3595" w:hanging="2177"/>
        <w:jc w:val="both"/>
        <w:rPr>
          <w:rFonts w:cs="Times New Roman"/>
          <w:szCs w:val="24"/>
        </w:rPr>
      </w:pPr>
      <w:r>
        <w:rPr>
          <w:rFonts w:cs="Times New Roman"/>
          <w:szCs w:val="24"/>
        </w:rPr>
        <w:t>JUDGE</w:t>
      </w:r>
      <w:r w:rsidR="00837276">
        <w:rPr>
          <w:rFonts w:cs="Times New Roman"/>
          <w:szCs w:val="24"/>
        </w:rPr>
        <w:t xml:space="preserve"> BELLAMY:</w:t>
      </w:r>
      <w:r w:rsidR="00837276">
        <w:rPr>
          <w:rFonts w:cs="Times New Roman"/>
          <w:szCs w:val="24"/>
        </w:rPr>
        <w:tab/>
        <w:t>Then 74(3) does not apply.</w:t>
      </w:r>
    </w:p>
    <w:p w14:paraId="5F2AF5AA" w14:textId="77777777" w:rsidR="00837276" w:rsidRDefault="00837276" w:rsidP="00AC6944">
      <w:pPr>
        <w:spacing w:after="120" w:line="240" w:lineRule="auto"/>
        <w:ind w:left="3595" w:hanging="2177"/>
        <w:jc w:val="both"/>
        <w:rPr>
          <w:rFonts w:cs="Times New Roman"/>
          <w:szCs w:val="24"/>
        </w:rPr>
      </w:pPr>
      <w:r>
        <w:rPr>
          <w:rFonts w:cs="Times New Roman"/>
          <w:szCs w:val="24"/>
        </w:rPr>
        <w:t>MR MARVEN QC:</w:t>
      </w:r>
      <w:r>
        <w:rPr>
          <w:rFonts w:cs="Times New Roman"/>
          <w:szCs w:val="24"/>
        </w:rPr>
        <w:tab/>
        <w:t>Quite.</w:t>
      </w:r>
    </w:p>
    <w:p w14:paraId="0E1F6A7B" w14:textId="47AB34F8" w:rsidR="00837276" w:rsidRDefault="00E57DAB" w:rsidP="00AC6944">
      <w:pPr>
        <w:spacing w:after="120" w:line="240" w:lineRule="auto"/>
        <w:ind w:left="3595" w:hanging="2177"/>
        <w:jc w:val="both"/>
        <w:rPr>
          <w:rFonts w:cs="Times New Roman"/>
          <w:szCs w:val="24"/>
        </w:rPr>
      </w:pPr>
      <w:r>
        <w:rPr>
          <w:rFonts w:cs="Times New Roman"/>
          <w:szCs w:val="24"/>
        </w:rPr>
        <w:t>JUDGE</w:t>
      </w:r>
      <w:r w:rsidR="00837276">
        <w:rPr>
          <w:rFonts w:cs="Times New Roman"/>
          <w:szCs w:val="24"/>
        </w:rPr>
        <w:t xml:space="preserve"> BELLAMY:</w:t>
      </w:r>
      <w:r w:rsidR="00837276">
        <w:rPr>
          <w:rFonts w:cs="Times New Roman"/>
          <w:szCs w:val="24"/>
        </w:rPr>
        <w:tab/>
        <w:t>I am still saying that there should be implied within 46.9(3) the informed consent.</w:t>
      </w:r>
    </w:p>
    <w:p w14:paraId="66449D7D" w14:textId="77777777" w:rsidR="00837276" w:rsidRDefault="00837276" w:rsidP="00AC6944">
      <w:pPr>
        <w:spacing w:after="120" w:line="240" w:lineRule="auto"/>
        <w:ind w:left="3595" w:hanging="2177"/>
        <w:jc w:val="both"/>
        <w:rPr>
          <w:rFonts w:cs="Times New Roman"/>
          <w:szCs w:val="24"/>
        </w:rPr>
      </w:pPr>
      <w:r>
        <w:rPr>
          <w:rFonts w:cs="Times New Roman"/>
          <w:szCs w:val="24"/>
        </w:rPr>
        <w:t>MR MARVEN QC:</w:t>
      </w:r>
      <w:r>
        <w:rPr>
          <w:rFonts w:cs="Times New Roman"/>
          <w:szCs w:val="24"/>
        </w:rPr>
        <w:tab/>
        <w:t>Tell me if I am being gloomy here, but in fact I have lost and lost to exactly the same extent, whatever the answer to that question?</w:t>
      </w:r>
    </w:p>
    <w:p w14:paraId="715AB613" w14:textId="5FDCCAA6" w:rsidR="00837276" w:rsidRDefault="00E57DAB" w:rsidP="00AC6944">
      <w:pPr>
        <w:spacing w:after="120" w:line="240" w:lineRule="auto"/>
        <w:ind w:left="3595" w:hanging="2177"/>
        <w:jc w:val="both"/>
        <w:rPr>
          <w:rFonts w:cs="Times New Roman"/>
          <w:szCs w:val="24"/>
        </w:rPr>
      </w:pPr>
      <w:r>
        <w:rPr>
          <w:rFonts w:cs="Times New Roman"/>
          <w:szCs w:val="24"/>
        </w:rPr>
        <w:t>JUDGE</w:t>
      </w:r>
      <w:r w:rsidR="00837276">
        <w:rPr>
          <w:rFonts w:cs="Times New Roman"/>
          <w:szCs w:val="24"/>
        </w:rPr>
        <w:t xml:space="preserve"> BELLAMY:</w:t>
      </w:r>
      <w:r w:rsidR="00837276">
        <w:rPr>
          <w:rFonts w:cs="Times New Roman"/>
          <w:szCs w:val="24"/>
        </w:rPr>
        <w:tab/>
        <w:t>You have.</w:t>
      </w:r>
    </w:p>
    <w:p w14:paraId="4007E5CC" w14:textId="77777777" w:rsidR="00837276" w:rsidRDefault="00837276" w:rsidP="00AC6944">
      <w:pPr>
        <w:spacing w:after="120" w:line="240" w:lineRule="auto"/>
        <w:ind w:left="3595" w:hanging="2177"/>
        <w:jc w:val="both"/>
        <w:rPr>
          <w:rFonts w:cs="Times New Roman"/>
          <w:szCs w:val="24"/>
        </w:rPr>
      </w:pPr>
      <w:r>
        <w:rPr>
          <w:rFonts w:cs="Times New Roman"/>
          <w:szCs w:val="24"/>
        </w:rPr>
        <w:t>MR MARVEN QC:</w:t>
      </w:r>
      <w:r>
        <w:rPr>
          <w:rFonts w:cs="Times New Roman"/>
          <w:szCs w:val="24"/>
        </w:rPr>
        <w:tab/>
        <w:t>I just want to be clear about that.</w:t>
      </w:r>
    </w:p>
    <w:p w14:paraId="0A07965C" w14:textId="10775FBB" w:rsidR="00837276" w:rsidRDefault="00E57DAB" w:rsidP="00AC6944">
      <w:pPr>
        <w:spacing w:after="120" w:line="240" w:lineRule="auto"/>
        <w:ind w:left="3595" w:hanging="2177"/>
        <w:jc w:val="both"/>
        <w:rPr>
          <w:rFonts w:cs="Times New Roman"/>
          <w:szCs w:val="24"/>
        </w:rPr>
      </w:pPr>
      <w:r>
        <w:rPr>
          <w:rFonts w:cs="Times New Roman"/>
          <w:szCs w:val="24"/>
        </w:rPr>
        <w:t>JUDGE</w:t>
      </w:r>
      <w:r w:rsidR="00837276">
        <w:rPr>
          <w:rFonts w:cs="Times New Roman"/>
          <w:szCs w:val="24"/>
        </w:rPr>
        <w:t xml:space="preserve"> BELLAMY:</w:t>
      </w:r>
      <w:r w:rsidR="00837276">
        <w:rPr>
          <w:rFonts w:cs="Times New Roman"/>
          <w:szCs w:val="24"/>
        </w:rPr>
        <w:tab/>
        <w:t>The only reason is that you have won in so far as I would be persuaded on the evidence before me today that 74(3) does not apply.</w:t>
      </w:r>
    </w:p>
    <w:p w14:paraId="601FF354" w14:textId="77777777" w:rsidR="00837276" w:rsidRDefault="00837276" w:rsidP="00AC6944">
      <w:pPr>
        <w:spacing w:after="120" w:line="240" w:lineRule="auto"/>
        <w:ind w:left="3595" w:hanging="2177"/>
        <w:jc w:val="both"/>
        <w:rPr>
          <w:rFonts w:cs="Times New Roman"/>
          <w:szCs w:val="24"/>
        </w:rPr>
      </w:pPr>
      <w:r>
        <w:rPr>
          <w:rFonts w:cs="Times New Roman"/>
          <w:szCs w:val="24"/>
        </w:rPr>
        <w:lastRenderedPageBreak/>
        <w:t>MR CARLISLE:</w:t>
      </w:r>
      <w:r>
        <w:rPr>
          <w:rFonts w:cs="Times New Roman"/>
          <w:szCs w:val="24"/>
        </w:rPr>
        <w:tab/>
        <w:t>Can I just be absolutely clear because I think I am being equally as obtuse …</w:t>
      </w:r>
    </w:p>
    <w:p w14:paraId="44C6C84A" w14:textId="77C0F134" w:rsidR="00837276" w:rsidRDefault="00E57DAB" w:rsidP="00AC6944">
      <w:pPr>
        <w:spacing w:after="120" w:line="240" w:lineRule="auto"/>
        <w:ind w:left="3595" w:hanging="2177"/>
        <w:jc w:val="both"/>
        <w:rPr>
          <w:rFonts w:cs="Times New Roman"/>
          <w:szCs w:val="24"/>
        </w:rPr>
      </w:pPr>
      <w:r>
        <w:rPr>
          <w:rFonts w:cs="Times New Roman"/>
          <w:szCs w:val="24"/>
        </w:rPr>
        <w:t>JUDGE</w:t>
      </w:r>
      <w:r w:rsidR="00837276">
        <w:rPr>
          <w:rFonts w:cs="Times New Roman"/>
          <w:szCs w:val="24"/>
        </w:rPr>
        <w:t xml:space="preserve"> BELLAMY: </w:t>
      </w:r>
      <w:r w:rsidR="00837276">
        <w:rPr>
          <w:rFonts w:cs="Times New Roman"/>
          <w:szCs w:val="24"/>
        </w:rPr>
        <w:tab/>
        <w:t>And I keep my hourly rates as they are, by the way.</w:t>
      </w:r>
    </w:p>
    <w:p w14:paraId="18FE9281" w14:textId="77777777" w:rsidR="00837276" w:rsidRDefault="00837276" w:rsidP="00AC6944">
      <w:pPr>
        <w:spacing w:after="120" w:line="240" w:lineRule="auto"/>
        <w:ind w:left="3595" w:hanging="2177"/>
        <w:jc w:val="both"/>
        <w:rPr>
          <w:rFonts w:cs="Times New Roman"/>
          <w:szCs w:val="24"/>
        </w:rPr>
      </w:pPr>
      <w:r>
        <w:rPr>
          <w:rFonts w:cs="Times New Roman"/>
          <w:szCs w:val="24"/>
        </w:rPr>
        <w:t>MR CARLISLE:</w:t>
      </w:r>
      <w:r>
        <w:rPr>
          <w:rFonts w:cs="Times New Roman"/>
          <w:szCs w:val="24"/>
        </w:rPr>
        <w:tab/>
        <w:t>So if section 74(3) applies, the base costs are limited to the base costs recovered.</w:t>
      </w:r>
    </w:p>
    <w:p w14:paraId="79472D9C" w14:textId="50A5D165" w:rsidR="00837276" w:rsidRDefault="00E57DAB" w:rsidP="00AC6944">
      <w:pPr>
        <w:spacing w:after="120" w:line="240" w:lineRule="auto"/>
        <w:ind w:left="3595" w:hanging="2177"/>
        <w:jc w:val="both"/>
        <w:rPr>
          <w:rFonts w:cs="Times New Roman"/>
          <w:szCs w:val="24"/>
        </w:rPr>
      </w:pPr>
      <w:r>
        <w:rPr>
          <w:rFonts w:cs="Times New Roman"/>
          <w:szCs w:val="24"/>
        </w:rPr>
        <w:t>JUDGE</w:t>
      </w:r>
      <w:r w:rsidR="00837276">
        <w:rPr>
          <w:rFonts w:cs="Times New Roman"/>
          <w:szCs w:val="24"/>
        </w:rPr>
        <w:t xml:space="preserve"> BELLAMY:</w:t>
      </w:r>
      <w:r w:rsidR="00837276">
        <w:rPr>
          <w:rFonts w:cs="Times New Roman"/>
          <w:szCs w:val="24"/>
        </w:rPr>
        <w:tab/>
        <w:t>Yes.</w:t>
      </w:r>
    </w:p>
    <w:p w14:paraId="3AADB634" w14:textId="77777777" w:rsidR="00837276" w:rsidRDefault="00837276" w:rsidP="00AC6944">
      <w:pPr>
        <w:spacing w:after="120" w:line="240" w:lineRule="auto"/>
        <w:ind w:left="3595" w:hanging="2177"/>
        <w:jc w:val="both"/>
        <w:rPr>
          <w:rFonts w:cs="Times New Roman"/>
          <w:szCs w:val="24"/>
        </w:rPr>
      </w:pPr>
      <w:r>
        <w:rPr>
          <w:rFonts w:cs="Times New Roman"/>
          <w:szCs w:val="24"/>
        </w:rPr>
        <w:t>MR CARLISLE:</w:t>
      </w:r>
      <w:r>
        <w:rPr>
          <w:rFonts w:cs="Times New Roman"/>
          <w:szCs w:val="24"/>
        </w:rPr>
        <w:tab/>
        <w:t>But if section 74(3) does not apply, they are limited to that amount in any event.</w:t>
      </w:r>
    </w:p>
    <w:p w14:paraId="3533BE89" w14:textId="482378B9" w:rsidR="00837276" w:rsidRDefault="00E57DAB" w:rsidP="00AC6944">
      <w:pPr>
        <w:spacing w:after="120" w:line="240" w:lineRule="auto"/>
        <w:ind w:left="3595" w:hanging="2177"/>
        <w:jc w:val="both"/>
        <w:rPr>
          <w:rFonts w:cs="Times New Roman"/>
          <w:szCs w:val="24"/>
        </w:rPr>
      </w:pPr>
      <w:r>
        <w:rPr>
          <w:rFonts w:cs="Times New Roman"/>
          <w:szCs w:val="24"/>
        </w:rPr>
        <w:t>JUDGE</w:t>
      </w:r>
      <w:r w:rsidR="00837276">
        <w:rPr>
          <w:rFonts w:cs="Times New Roman"/>
          <w:szCs w:val="24"/>
        </w:rPr>
        <w:t xml:space="preserve"> BELLAMY:</w:t>
      </w:r>
      <w:r w:rsidR="00837276">
        <w:rPr>
          <w:rFonts w:cs="Times New Roman"/>
          <w:szCs w:val="24"/>
        </w:rPr>
        <w:tab/>
        <w:t>In any event, because I say there is no ----</w:t>
      </w:r>
    </w:p>
    <w:p w14:paraId="1D2158DA" w14:textId="77777777" w:rsidR="00837276" w:rsidRDefault="00837276" w:rsidP="00AC6944">
      <w:pPr>
        <w:spacing w:after="120" w:line="240" w:lineRule="auto"/>
        <w:ind w:left="3595" w:hanging="2177"/>
        <w:jc w:val="both"/>
        <w:rPr>
          <w:rFonts w:cs="Times New Roman"/>
          <w:szCs w:val="24"/>
        </w:rPr>
      </w:pPr>
      <w:r>
        <w:rPr>
          <w:rFonts w:cs="Times New Roman"/>
          <w:szCs w:val="24"/>
        </w:rPr>
        <w:t>MR SHENTON:</w:t>
      </w:r>
      <w:r>
        <w:rPr>
          <w:rFonts w:cs="Times New Roman"/>
          <w:szCs w:val="24"/>
        </w:rPr>
        <w:tab/>
        <w:t>Because that is a reasonable amount.</w:t>
      </w:r>
    </w:p>
    <w:p w14:paraId="235A56D3" w14:textId="5D147A3E" w:rsidR="00837276" w:rsidRDefault="00E57DAB" w:rsidP="00AC6944">
      <w:pPr>
        <w:spacing w:after="120" w:line="240" w:lineRule="auto"/>
        <w:ind w:left="3595" w:hanging="2177"/>
        <w:jc w:val="both"/>
        <w:rPr>
          <w:rFonts w:cs="Times New Roman"/>
          <w:szCs w:val="24"/>
        </w:rPr>
      </w:pPr>
      <w:r>
        <w:rPr>
          <w:rFonts w:cs="Times New Roman"/>
          <w:szCs w:val="24"/>
        </w:rPr>
        <w:t>JUDGE</w:t>
      </w:r>
      <w:r w:rsidR="00837276">
        <w:rPr>
          <w:rFonts w:cs="Times New Roman"/>
          <w:szCs w:val="24"/>
        </w:rPr>
        <w:t xml:space="preserve"> BELLAMY:</w:t>
      </w:r>
      <w:r w:rsidR="00837276">
        <w:rPr>
          <w:rFonts w:cs="Times New Roman"/>
          <w:szCs w:val="24"/>
        </w:rPr>
        <w:tab/>
        <w:t>That is a reasonable amount and there is no informed consent.  And, for the avoidance of doubt, you can tag this on to any existing appeal to get clarity between … I do not think the clarity on section 74(3) and the informed consent is too much of a difficulty:  it is where it then impacts on 46.9, is it not?”</w:t>
      </w:r>
    </w:p>
    <w:p w14:paraId="554FCBCB" w14:textId="64E87306" w:rsidR="0049061F" w:rsidRPr="00944401" w:rsidRDefault="0049061F" w:rsidP="00AC6944">
      <w:pPr>
        <w:pStyle w:val="ListParagraph"/>
        <w:spacing w:after="240" w:line="240" w:lineRule="auto"/>
        <w:contextualSpacing w:val="0"/>
        <w:jc w:val="both"/>
        <w:rPr>
          <w:i/>
          <w:iCs/>
          <w:szCs w:val="24"/>
        </w:rPr>
      </w:pPr>
      <w:r>
        <w:rPr>
          <w:i/>
          <w:iCs/>
          <w:szCs w:val="24"/>
        </w:rPr>
        <w:t>(2)(g)(i</w:t>
      </w:r>
      <w:r w:rsidR="00492E54">
        <w:rPr>
          <w:i/>
          <w:iCs/>
          <w:szCs w:val="24"/>
        </w:rPr>
        <w:t>v</w:t>
      </w:r>
      <w:r>
        <w:rPr>
          <w:i/>
          <w:iCs/>
          <w:szCs w:val="24"/>
        </w:rPr>
        <w:t>) Points 3 and 4</w:t>
      </w:r>
    </w:p>
    <w:p w14:paraId="714A0E06" w14:textId="7E119E54" w:rsidR="0049061F" w:rsidRDefault="0049061F" w:rsidP="00AC6944">
      <w:pPr>
        <w:pStyle w:val="ListParagraph"/>
        <w:numPr>
          <w:ilvl w:val="0"/>
          <w:numId w:val="15"/>
        </w:numPr>
        <w:spacing w:after="240" w:line="240" w:lineRule="auto"/>
        <w:contextualSpacing w:val="0"/>
        <w:jc w:val="both"/>
        <w:rPr>
          <w:szCs w:val="24"/>
        </w:rPr>
      </w:pPr>
      <w:r>
        <w:rPr>
          <w:szCs w:val="24"/>
        </w:rPr>
        <w:t>Mr Marven made brief submissions on Poin</w:t>
      </w:r>
      <w:r w:rsidR="00236157">
        <w:rPr>
          <w:szCs w:val="24"/>
        </w:rPr>
        <w:t xml:space="preserve">t </w:t>
      </w:r>
      <w:r>
        <w:rPr>
          <w:szCs w:val="24"/>
        </w:rPr>
        <w:t xml:space="preserve">3 that a higher hourly rate than £120 should have been chosen and on Point 4 </w:t>
      </w:r>
      <w:r w:rsidR="00236157">
        <w:rPr>
          <w:szCs w:val="24"/>
        </w:rPr>
        <w:t xml:space="preserve">that a </w:t>
      </w:r>
      <w:r>
        <w:rPr>
          <w:szCs w:val="24"/>
        </w:rPr>
        <w:t xml:space="preserve">higher percentage than 15% </w:t>
      </w:r>
      <w:r w:rsidR="00236157">
        <w:rPr>
          <w:szCs w:val="24"/>
        </w:rPr>
        <w:t>should have bee</w:t>
      </w:r>
      <w:r w:rsidR="00E5672A">
        <w:rPr>
          <w:szCs w:val="24"/>
        </w:rPr>
        <w:t>n</w:t>
      </w:r>
      <w:r w:rsidR="00236157">
        <w:rPr>
          <w:szCs w:val="24"/>
        </w:rPr>
        <w:t xml:space="preserve"> chosen </w:t>
      </w:r>
      <w:r>
        <w:rPr>
          <w:szCs w:val="24"/>
        </w:rPr>
        <w:t xml:space="preserve">for the success fee.  </w:t>
      </w:r>
    </w:p>
    <w:p w14:paraId="4108EFDF" w14:textId="16E527D5" w:rsidR="0049061F" w:rsidRDefault="0049061F" w:rsidP="00AC6944">
      <w:pPr>
        <w:pStyle w:val="ListParagraph"/>
        <w:numPr>
          <w:ilvl w:val="0"/>
          <w:numId w:val="15"/>
        </w:numPr>
        <w:spacing w:after="240" w:line="240" w:lineRule="auto"/>
        <w:contextualSpacing w:val="0"/>
        <w:jc w:val="both"/>
        <w:rPr>
          <w:szCs w:val="24"/>
        </w:rPr>
      </w:pPr>
      <w:r>
        <w:rPr>
          <w:szCs w:val="24"/>
        </w:rPr>
        <w:t xml:space="preserve">On Point 4, the </w:t>
      </w:r>
      <w:r w:rsidR="00236157">
        <w:rPr>
          <w:szCs w:val="24"/>
        </w:rPr>
        <w:t>d</w:t>
      </w:r>
      <w:r>
        <w:rPr>
          <w:szCs w:val="24"/>
        </w:rPr>
        <w:t xml:space="preserve">istrict judge stated </w:t>
      </w:r>
      <w:r w:rsidR="00505A03">
        <w:rPr>
          <w:szCs w:val="24"/>
        </w:rPr>
        <w:t xml:space="preserve">at an early stage in the hearing </w:t>
      </w:r>
      <w:r>
        <w:rPr>
          <w:szCs w:val="24"/>
        </w:rPr>
        <w:t xml:space="preserve">that he was not going to change the success fee.  It will be noted </w:t>
      </w:r>
      <w:r w:rsidR="00505A03">
        <w:rPr>
          <w:szCs w:val="24"/>
        </w:rPr>
        <w:t>that</w:t>
      </w:r>
      <w:r w:rsidR="00E5672A">
        <w:rPr>
          <w:szCs w:val="24"/>
        </w:rPr>
        <w:t>,</w:t>
      </w:r>
      <w:r w:rsidR="00505A03">
        <w:rPr>
          <w:szCs w:val="24"/>
        </w:rPr>
        <w:t xml:space="preserve"> </w:t>
      </w:r>
      <w:r>
        <w:rPr>
          <w:szCs w:val="24"/>
        </w:rPr>
        <w:t>in the passage just cited</w:t>
      </w:r>
      <w:r w:rsidR="00E5672A">
        <w:rPr>
          <w:szCs w:val="24"/>
        </w:rPr>
        <w:t>,</w:t>
      </w:r>
      <w:r>
        <w:rPr>
          <w:szCs w:val="24"/>
        </w:rPr>
        <w:t xml:space="preserve"> the </w:t>
      </w:r>
      <w:r w:rsidR="00E5672A">
        <w:rPr>
          <w:szCs w:val="24"/>
        </w:rPr>
        <w:t>d</w:t>
      </w:r>
      <w:r>
        <w:rPr>
          <w:szCs w:val="24"/>
        </w:rPr>
        <w:t xml:space="preserve">istrict </w:t>
      </w:r>
      <w:r w:rsidR="00E5672A">
        <w:rPr>
          <w:szCs w:val="24"/>
        </w:rPr>
        <w:t>j</w:t>
      </w:r>
      <w:r>
        <w:rPr>
          <w:szCs w:val="24"/>
        </w:rPr>
        <w:t>udge said that he kept his hourly rates as they were.  That was his decision on Point 3.</w:t>
      </w:r>
    </w:p>
    <w:p w14:paraId="1850F999" w14:textId="44919747" w:rsidR="00285F48" w:rsidRPr="00285F48" w:rsidRDefault="00285F48" w:rsidP="00AC6944">
      <w:pPr>
        <w:pStyle w:val="ListParagraph"/>
        <w:spacing w:after="240" w:line="240" w:lineRule="auto"/>
        <w:contextualSpacing w:val="0"/>
        <w:jc w:val="both"/>
        <w:rPr>
          <w:i/>
          <w:iCs/>
          <w:szCs w:val="24"/>
        </w:rPr>
      </w:pPr>
      <w:r>
        <w:rPr>
          <w:i/>
          <w:iCs/>
          <w:szCs w:val="24"/>
        </w:rPr>
        <w:t>(2)(g)(v) Costs</w:t>
      </w:r>
    </w:p>
    <w:p w14:paraId="0D7E759D" w14:textId="22DAF77C" w:rsidR="00285F48" w:rsidRDefault="00285F48" w:rsidP="00AC6944">
      <w:pPr>
        <w:pStyle w:val="ListParagraph"/>
        <w:numPr>
          <w:ilvl w:val="0"/>
          <w:numId w:val="15"/>
        </w:numPr>
        <w:spacing w:after="240" w:line="240" w:lineRule="auto"/>
        <w:contextualSpacing w:val="0"/>
        <w:jc w:val="both"/>
        <w:rPr>
          <w:szCs w:val="24"/>
        </w:rPr>
      </w:pPr>
      <w:r>
        <w:rPr>
          <w:szCs w:val="24"/>
        </w:rPr>
        <w:t xml:space="preserve">In the light of the district judge’s decisions, Mr </w:t>
      </w:r>
      <w:r w:rsidR="00EB37DE">
        <w:rPr>
          <w:szCs w:val="24"/>
        </w:rPr>
        <w:t>Marven</w:t>
      </w:r>
      <w:r>
        <w:rPr>
          <w:szCs w:val="24"/>
        </w:rPr>
        <w:t xml:space="preserve"> accepted that the Defendant had to pay the costs of the review. </w:t>
      </w:r>
    </w:p>
    <w:p w14:paraId="01E7DFFF" w14:textId="2065606D" w:rsidR="00944401" w:rsidRPr="00944401" w:rsidRDefault="00944401" w:rsidP="00AC6944">
      <w:pPr>
        <w:pStyle w:val="ListParagraph"/>
        <w:spacing w:after="240" w:line="240" w:lineRule="auto"/>
        <w:contextualSpacing w:val="0"/>
        <w:jc w:val="both"/>
        <w:rPr>
          <w:i/>
          <w:iCs/>
          <w:szCs w:val="24"/>
        </w:rPr>
      </w:pPr>
      <w:r>
        <w:rPr>
          <w:i/>
          <w:iCs/>
          <w:szCs w:val="24"/>
        </w:rPr>
        <w:t>(2)(g)(v</w:t>
      </w:r>
      <w:r w:rsidR="00492E54">
        <w:rPr>
          <w:i/>
          <w:iCs/>
          <w:szCs w:val="24"/>
        </w:rPr>
        <w:t>i</w:t>
      </w:r>
      <w:r>
        <w:rPr>
          <w:i/>
          <w:iCs/>
          <w:szCs w:val="24"/>
        </w:rPr>
        <w:t xml:space="preserve">) The </w:t>
      </w:r>
      <w:r w:rsidR="00E57DAB">
        <w:rPr>
          <w:i/>
          <w:iCs/>
          <w:szCs w:val="24"/>
        </w:rPr>
        <w:t>District</w:t>
      </w:r>
      <w:r>
        <w:rPr>
          <w:i/>
          <w:iCs/>
          <w:szCs w:val="24"/>
        </w:rPr>
        <w:t xml:space="preserve"> </w:t>
      </w:r>
      <w:r w:rsidR="00E57DAB">
        <w:rPr>
          <w:i/>
          <w:iCs/>
          <w:szCs w:val="24"/>
        </w:rPr>
        <w:t>Judge</w:t>
      </w:r>
      <w:r>
        <w:rPr>
          <w:i/>
          <w:iCs/>
          <w:szCs w:val="24"/>
        </w:rPr>
        <w:t>’s Order</w:t>
      </w:r>
    </w:p>
    <w:p w14:paraId="30CCE44E" w14:textId="6EE3D13E" w:rsidR="220630C1" w:rsidRDefault="220630C1" w:rsidP="00AC6944">
      <w:pPr>
        <w:pStyle w:val="ListParagraph"/>
        <w:numPr>
          <w:ilvl w:val="0"/>
          <w:numId w:val="15"/>
        </w:numPr>
        <w:spacing w:after="240" w:line="240" w:lineRule="auto"/>
        <w:contextualSpacing w:val="0"/>
        <w:jc w:val="both"/>
        <w:rPr>
          <w:szCs w:val="24"/>
        </w:rPr>
      </w:pPr>
      <w:r w:rsidRPr="064C8778">
        <w:rPr>
          <w:rFonts w:eastAsia="Times New Roman" w:cs="Times New Roman"/>
          <w:szCs w:val="24"/>
        </w:rPr>
        <w:t>P</w:t>
      </w:r>
      <w:r w:rsidR="575CC610" w:rsidRPr="064C8778">
        <w:rPr>
          <w:rFonts w:eastAsia="Times New Roman" w:cs="Times New Roman"/>
          <w:szCs w:val="24"/>
        </w:rPr>
        <w:t xml:space="preserve">aragraphs 1 to 5 of the </w:t>
      </w:r>
      <w:r w:rsidR="00236157">
        <w:rPr>
          <w:rFonts w:eastAsia="Times New Roman" w:cs="Times New Roman"/>
          <w:szCs w:val="24"/>
        </w:rPr>
        <w:t>d</w:t>
      </w:r>
      <w:r w:rsidR="00E57DAB">
        <w:rPr>
          <w:rFonts w:eastAsia="Times New Roman" w:cs="Times New Roman"/>
          <w:szCs w:val="24"/>
        </w:rPr>
        <w:t>istrict</w:t>
      </w:r>
      <w:r w:rsidR="575CC610" w:rsidRPr="064C8778">
        <w:rPr>
          <w:rFonts w:eastAsia="Times New Roman" w:cs="Times New Roman"/>
          <w:szCs w:val="24"/>
        </w:rPr>
        <w:t xml:space="preserve"> </w:t>
      </w:r>
      <w:r w:rsidR="00236157">
        <w:rPr>
          <w:rFonts w:eastAsia="Times New Roman" w:cs="Times New Roman"/>
          <w:szCs w:val="24"/>
        </w:rPr>
        <w:t>j</w:t>
      </w:r>
      <w:r w:rsidR="00E57DAB">
        <w:rPr>
          <w:rFonts w:eastAsia="Times New Roman" w:cs="Times New Roman"/>
          <w:szCs w:val="24"/>
        </w:rPr>
        <w:t>udge</w:t>
      </w:r>
      <w:r w:rsidR="575CC610" w:rsidRPr="064C8778">
        <w:rPr>
          <w:rFonts w:eastAsia="Times New Roman" w:cs="Times New Roman"/>
          <w:szCs w:val="24"/>
        </w:rPr>
        <w:t>’s order were in the following terms:</w:t>
      </w:r>
    </w:p>
    <w:p w14:paraId="24ED245F" w14:textId="6B15CA99" w:rsidR="00057305" w:rsidRDefault="00057305" w:rsidP="00AC6944">
      <w:pPr>
        <w:spacing w:after="120" w:line="240" w:lineRule="auto"/>
        <w:ind w:left="2161" w:hanging="743"/>
        <w:jc w:val="both"/>
        <w:rPr>
          <w:rFonts w:cs="Times New Roman"/>
          <w:szCs w:val="24"/>
        </w:rPr>
      </w:pPr>
      <w:r>
        <w:rPr>
          <w:rFonts w:cs="Times New Roman"/>
          <w:szCs w:val="24"/>
        </w:rPr>
        <w:t>“1.</w:t>
      </w:r>
      <w:r>
        <w:rPr>
          <w:rFonts w:cs="Times New Roman"/>
          <w:szCs w:val="24"/>
        </w:rPr>
        <w:tab/>
        <w:t xml:space="preserve">The Court’s ‘on paper’ decisions are affirmed, save that in respect of the decision on point of dispute 2, in the event that court proceedings were not issued the Solicitors Act 1974 section 74(3) does not apply, but the court’s decision remains that the </w:t>
      </w:r>
      <w:r w:rsidR="00EB37DE">
        <w:rPr>
          <w:rFonts w:cs="Times New Roman"/>
          <w:szCs w:val="24"/>
        </w:rPr>
        <w:t>Defendant’s base</w:t>
      </w:r>
      <w:r>
        <w:rPr>
          <w:rFonts w:cs="Times New Roman"/>
          <w:szCs w:val="24"/>
        </w:rPr>
        <w:t xml:space="preserve"> costs are limited to base costs recovered inter partes by the Claimant, on the basis of the presumptions in CPR r 46.9(3).</w:t>
      </w:r>
    </w:p>
    <w:p w14:paraId="65AA3F7F" w14:textId="77777777" w:rsidR="00057305" w:rsidRDefault="00057305" w:rsidP="00AC6944">
      <w:pPr>
        <w:spacing w:after="120" w:line="240" w:lineRule="auto"/>
        <w:ind w:left="2161" w:hanging="743"/>
        <w:jc w:val="both"/>
        <w:rPr>
          <w:rFonts w:cs="Times New Roman"/>
          <w:szCs w:val="24"/>
        </w:rPr>
      </w:pPr>
      <w:r>
        <w:rPr>
          <w:rFonts w:cs="Times New Roman"/>
          <w:szCs w:val="24"/>
        </w:rPr>
        <w:t>2.</w:t>
      </w:r>
      <w:r>
        <w:rPr>
          <w:rFonts w:cs="Times New Roman"/>
          <w:szCs w:val="24"/>
        </w:rPr>
        <w:tab/>
        <w:t>The Defendant do by 28</w:t>
      </w:r>
      <w:r w:rsidRPr="00C0742F">
        <w:rPr>
          <w:rFonts w:cs="Times New Roman"/>
          <w:szCs w:val="24"/>
          <w:vertAlign w:val="superscript"/>
        </w:rPr>
        <w:t>th</w:t>
      </w:r>
      <w:r>
        <w:rPr>
          <w:rFonts w:cs="Times New Roman"/>
          <w:szCs w:val="24"/>
        </w:rPr>
        <w:t xml:space="preserve"> January 2020 file and serve a witness statement confirming whether or not proceedings were in fact issued on the claim that is the subject matter of the Defendant’s bill.</w:t>
      </w:r>
    </w:p>
    <w:p w14:paraId="388EB7A3" w14:textId="77777777" w:rsidR="00057305" w:rsidRDefault="00057305" w:rsidP="00AC6944">
      <w:pPr>
        <w:spacing w:after="120" w:line="240" w:lineRule="auto"/>
        <w:ind w:left="2161" w:hanging="743"/>
        <w:jc w:val="both"/>
        <w:rPr>
          <w:rFonts w:cs="Times New Roman"/>
          <w:szCs w:val="24"/>
        </w:rPr>
      </w:pPr>
      <w:r>
        <w:rPr>
          <w:rFonts w:cs="Times New Roman"/>
          <w:szCs w:val="24"/>
        </w:rPr>
        <w:t>3.</w:t>
      </w:r>
      <w:r>
        <w:rPr>
          <w:rFonts w:cs="Times New Roman"/>
          <w:szCs w:val="24"/>
        </w:rPr>
        <w:tab/>
        <w:t>The Defendant’s bill be assessed in the sum of £1,394.00, being base costs of £750 and a success fee of 15% on such base costs, together with VAT and the disbursements as claimed.</w:t>
      </w:r>
    </w:p>
    <w:p w14:paraId="4AB1AE45" w14:textId="77777777" w:rsidR="00057305" w:rsidRDefault="00057305" w:rsidP="00AC6944">
      <w:pPr>
        <w:spacing w:after="120" w:line="240" w:lineRule="auto"/>
        <w:ind w:left="2161" w:hanging="743"/>
        <w:jc w:val="both"/>
        <w:rPr>
          <w:rFonts w:cs="Times New Roman"/>
          <w:szCs w:val="24"/>
        </w:rPr>
      </w:pPr>
      <w:r>
        <w:rPr>
          <w:rFonts w:cs="Times New Roman"/>
          <w:szCs w:val="24"/>
        </w:rPr>
        <w:lastRenderedPageBreak/>
        <w:t>4.</w:t>
      </w:r>
      <w:r>
        <w:rPr>
          <w:rFonts w:cs="Times New Roman"/>
          <w:szCs w:val="24"/>
        </w:rPr>
        <w:tab/>
        <w:t>The Court having undertaken the Cash Account exercise the Defendant do by 21</w:t>
      </w:r>
      <w:r w:rsidRPr="00C2170A">
        <w:rPr>
          <w:rFonts w:cs="Times New Roman"/>
          <w:szCs w:val="24"/>
          <w:vertAlign w:val="superscript"/>
        </w:rPr>
        <w:t>st</w:t>
      </w:r>
      <w:r>
        <w:rPr>
          <w:rFonts w:cs="Times New Roman"/>
          <w:szCs w:val="24"/>
        </w:rPr>
        <w:t xml:space="preserve"> January 2020 pay to the Claimant the balance of £177.50.</w:t>
      </w:r>
    </w:p>
    <w:p w14:paraId="0B6864CA" w14:textId="07A16A09" w:rsidR="00057305" w:rsidRDefault="00057305" w:rsidP="00AC6944">
      <w:pPr>
        <w:spacing w:after="240" w:line="240" w:lineRule="auto"/>
        <w:ind w:left="2161" w:hanging="743"/>
        <w:jc w:val="both"/>
        <w:rPr>
          <w:rFonts w:cs="Times New Roman"/>
          <w:szCs w:val="24"/>
        </w:rPr>
      </w:pPr>
      <w:r>
        <w:rPr>
          <w:rFonts w:cs="Times New Roman"/>
          <w:szCs w:val="24"/>
        </w:rPr>
        <w:t>5.</w:t>
      </w:r>
      <w:r>
        <w:rPr>
          <w:rFonts w:cs="Times New Roman"/>
          <w:szCs w:val="24"/>
        </w:rPr>
        <w:tab/>
        <w:t>The Defendant’s bill having been reduced by 49% the Defendant do by 21</w:t>
      </w:r>
      <w:r w:rsidRPr="00C2170A">
        <w:rPr>
          <w:rFonts w:cs="Times New Roman"/>
          <w:szCs w:val="24"/>
          <w:vertAlign w:val="superscript"/>
        </w:rPr>
        <w:t>st</w:t>
      </w:r>
      <w:r>
        <w:rPr>
          <w:rFonts w:cs="Times New Roman"/>
          <w:szCs w:val="24"/>
        </w:rPr>
        <w:t xml:space="preserve"> January 2020 pay the Claimant’s costs of the application, summarily assessed in the sum of £8,500 inclusive of VAT.”</w:t>
      </w:r>
    </w:p>
    <w:p w14:paraId="22F010C0" w14:textId="4DCFE188" w:rsidR="10DC05BF" w:rsidRDefault="10DC05BF" w:rsidP="00AC6944">
      <w:pPr>
        <w:pStyle w:val="ListParagraph"/>
        <w:numPr>
          <w:ilvl w:val="0"/>
          <w:numId w:val="15"/>
        </w:numPr>
        <w:spacing w:after="240" w:line="240" w:lineRule="auto"/>
        <w:contextualSpacing w:val="0"/>
        <w:jc w:val="both"/>
        <w:rPr>
          <w:szCs w:val="24"/>
        </w:rPr>
      </w:pPr>
      <w:r w:rsidRPr="064C8778">
        <w:rPr>
          <w:rFonts w:eastAsia="Times New Roman" w:cs="Times New Roman"/>
          <w:szCs w:val="24"/>
        </w:rPr>
        <w:t>The bill was the</w:t>
      </w:r>
      <w:r w:rsidR="0028226B">
        <w:rPr>
          <w:rFonts w:eastAsia="Times New Roman" w:cs="Times New Roman"/>
          <w:szCs w:val="24"/>
        </w:rPr>
        <w:t>re</w:t>
      </w:r>
      <w:r w:rsidRPr="064C8778">
        <w:rPr>
          <w:rFonts w:eastAsia="Times New Roman" w:cs="Times New Roman"/>
          <w:szCs w:val="24"/>
        </w:rPr>
        <w:t>fore assessed in the amount of £1,394, made up of:</w:t>
      </w:r>
    </w:p>
    <w:p w14:paraId="64CE2707" w14:textId="4340C323" w:rsidR="10DC05BF" w:rsidRDefault="10DC05BF" w:rsidP="00AC6944">
      <w:pPr>
        <w:pStyle w:val="ListParagraph"/>
        <w:numPr>
          <w:ilvl w:val="1"/>
          <w:numId w:val="15"/>
        </w:numPr>
        <w:spacing w:after="240" w:line="240" w:lineRule="auto"/>
        <w:contextualSpacing w:val="0"/>
        <w:jc w:val="both"/>
        <w:rPr>
          <w:szCs w:val="24"/>
        </w:rPr>
      </w:pPr>
      <w:r w:rsidRPr="064C8778">
        <w:rPr>
          <w:rFonts w:eastAsia="Times New Roman" w:cs="Times New Roman"/>
          <w:szCs w:val="24"/>
        </w:rPr>
        <w:t>£750 bas</w:t>
      </w:r>
      <w:r w:rsidR="00076CC0">
        <w:rPr>
          <w:rFonts w:eastAsia="Times New Roman" w:cs="Times New Roman"/>
          <w:szCs w:val="24"/>
        </w:rPr>
        <w:t>e</w:t>
      </w:r>
      <w:r w:rsidRPr="064C8778">
        <w:rPr>
          <w:rFonts w:eastAsia="Times New Roman" w:cs="Times New Roman"/>
          <w:szCs w:val="24"/>
        </w:rPr>
        <w:t xml:space="preserve"> costs</w:t>
      </w:r>
      <w:r w:rsidR="00042692">
        <w:rPr>
          <w:rFonts w:eastAsia="Times New Roman" w:cs="Times New Roman"/>
          <w:szCs w:val="24"/>
        </w:rPr>
        <w:t>, plus VAT of £150</w:t>
      </w:r>
      <w:r w:rsidR="00076CC0">
        <w:rPr>
          <w:rFonts w:eastAsia="Times New Roman" w:cs="Times New Roman"/>
          <w:szCs w:val="24"/>
        </w:rPr>
        <w:t>;</w:t>
      </w:r>
    </w:p>
    <w:p w14:paraId="51E1D43A" w14:textId="4410451E" w:rsidR="10DC05BF" w:rsidRPr="00042692" w:rsidRDefault="10DC05BF" w:rsidP="00AC6944">
      <w:pPr>
        <w:pStyle w:val="ListParagraph"/>
        <w:numPr>
          <w:ilvl w:val="1"/>
          <w:numId w:val="15"/>
        </w:numPr>
        <w:spacing w:after="240" w:line="240" w:lineRule="auto"/>
        <w:contextualSpacing w:val="0"/>
        <w:jc w:val="both"/>
        <w:rPr>
          <w:szCs w:val="24"/>
        </w:rPr>
      </w:pPr>
      <w:r w:rsidRPr="064C8778">
        <w:rPr>
          <w:rFonts w:eastAsia="Times New Roman" w:cs="Times New Roman"/>
          <w:szCs w:val="24"/>
        </w:rPr>
        <w:t>£112.50 success fee (i.e. 15% of £750</w:t>
      </w:r>
      <w:r w:rsidR="00FC58F6">
        <w:rPr>
          <w:rFonts w:eastAsia="Times New Roman" w:cs="Times New Roman"/>
          <w:szCs w:val="24"/>
        </w:rPr>
        <w:t>)</w:t>
      </w:r>
      <w:r w:rsidR="00042692">
        <w:rPr>
          <w:rFonts w:eastAsia="Times New Roman" w:cs="Times New Roman"/>
          <w:szCs w:val="24"/>
        </w:rPr>
        <w:t>, plus VAT of £22.50</w:t>
      </w:r>
      <w:r w:rsidRPr="064C8778">
        <w:rPr>
          <w:rFonts w:eastAsia="Times New Roman" w:cs="Times New Roman"/>
          <w:szCs w:val="24"/>
        </w:rPr>
        <w:t>;</w:t>
      </w:r>
    </w:p>
    <w:p w14:paraId="06C6C4C7" w14:textId="494FFA93" w:rsidR="10DC05BF" w:rsidRDefault="10DC05BF" w:rsidP="00AC6944">
      <w:pPr>
        <w:pStyle w:val="ListParagraph"/>
        <w:numPr>
          <w:ilvl w:val="1"/>
          <w:numId w:val="15"/>
        </w:numPr>
        <w:spacing w:after="240" w:line="240" w:lineRule="auto"/>
        <w:contextualSpacing w:val="0"/>
        <w:jc w:val="both"/>
        <w:rPr>
          <w:szCs w:val="24"/>
        </w:rPr>
      </w:pPr>
      <w:r w:rsidRPr="064C8778">
        <w:rPr>
          <w:rFonts w:eastAsia="Times New Roman" w:cs="Times New Roman"/>
          <w:szCs w:val="24"/>
        </w:rPr>
        <w:t>£</w:t>
      </w:r>
      <w:r w:rsidR="00042692">
        <w:rPr>
          <w:rFonts w:eastAsia="Times New Roman" w:cs="Times New Roman"/>
          <w:szCs w:val="24"/>
        </w:rPr>
        <w:t>180</w:t>
      </w:r>
      <w:r w:rsidRPr="064C8778">
        <w:rPr>
          <w:rFonts w:eastAsia="Times New Roman" w:cs="Times New Roman"/>
          <w:szCs w:val="24"/>
        </w:rPr>
        <w:t xml:space="preserve"> medical report fee</w:t>
      </w:r>
      <w:r w:rsidR="00042692">
        <w:rPr>
          <w:rFonts w:eastAsia="Times New Roman" w:cs="Times New Roman"/>
          <w:szCs w:val="24"/>
        </w:rPr>
        <w:t>,</w:t>
      </w:r>
      <w:r w:rsidR="0028226B">
        <w:rPr>
          <w:rFonts w:eastAsia="Times New Roman" w:cs="Times New Roman"/>
          <w:szCs w:val="24"/>
        </w:rPr>
        <w:t xml:space="preserve"> </w:t>
      </w:r>
      <w:r w:rsidR="00042692">
        <w:rPr>
          <w:rFonts w:eastAsia="Times New Roman" w:cs="Times New Roman"/>
          <w:szCs w:val="24"/>
        </w:rPr>
        <w:t xml:space="preserve">plus </w:t>
      </w:r>
      <w:r w:rsidR="0028226B">
        <w:rPr>
          <w:rFonts w:eastAsia="Times New Roman" w:cs="Times New Roman"/>
          <w:szCs w:val="24"/>
        </w:rPr>
        <w:t>VAT</w:t>
      </w:r>
      <w:r w:rsidR="00042692">
        <w:rPr>
          <w:rFonts w:eastAsia="Times New Roman" w:cs="Times New Roman"/>
          <w:szCs w:val="24"/>
        </w:rPr>
        <w:t xml:space="preserve"> of £36</w:t>
      </w:r>
      <w:r w:rsidRPr="064C8778">
        <w:rPr>
          <w:rFonts w:eastAsia="Times New Roman" w:cs="Times New Roman"/>
          <w:szCs w:val="24"/>
        </w:rPr>
        <w:t>; and</w:t>
      </w:r>
    </w:p>
    <w:p w14:paraId="38680BF2" w14:textId="2C9E0BB7" w:rsidR="10DC05BF" w:rsidRDefault="10DC05BF" w:rsidP="00AC6944">
      <w:pPr>
        <w:pStyle w:val="ListParagraph"/>
        <w:numPr>
          <w:ilvl w:val="1"/>
          <w:numId w:val="15"/>
        </w:numPr>
        <w:spacing w:after="240" w:line="240" w:lineRule="auto"/>
        <w:contextualSpacing w:val="0"/>
        <w:jc w:val="both"/>
        <w:rPr>
          <w:szCs w:val="24"/>
        </w:rPr>
      </w:pPr>
      <w:r w:rsidRPr="064C8778">
        <w:rPr>
          <w:rFonts w:eastAsia="Times New Roman" w:cs="Times New Roman"/>
          <w:szCs w:val="24"/>
        </w:rPr>
        <w:t>£143 ATE insurance premium.</w:t>
      </w:r>
    </w:p>
    <w:p w14:paraId="0F1DA349" w14:textId="24D9AFAC" w:rsidR="00042692" w:rsidRDefault="00042692" w:rsidP="00AC6944">
      <w:pPr>
        <w:pStyle w:val="ListParagraph"/>
        <w:numPr>
          <w:ilvl w:val="0"/>
          <w:numId w:val="15"/>
        </w:numPr>
        <w:spacing w:after="240" w:line="240" w:lineRule="auto"/>
        <w:contextualSpacing w:val="0"/>
        <w:jc w:val="both"/>
        <w:rPr>
          <w:szCs w:val="24"/>
        </w:rPr>
      </w:pPr>
      <w:r>
        <w:rPr>
          <w:szCs w:val="24"/>
        </w:rPr>
        <w:t xml:space="preserve">The net effect of the assessment was that the Defendant, instead of retaining £455.50 from the </w:t>
      </w:r>
      <w:r w:rsidR="00B84EE5">
        <w:rPr>
          <w:szCs w:val="24"/>
        </w:rPr>
        <w:t>Claimant’s</w:t>
      </w:r>
      <w:r>
        <w:rPr>
          <w:szCs w:val="24"/>
        </w:rPr>
        <w:t xml:space="preserve"> damages, was only entitled to retain £278 (i.e. the total </w:t>
      </w:r>
      <w:r w:rsidR="00CF2FB8">
        <w:rPr>
          <w:szCs w:val="24"/>
        </w:rPr>
        <w:t>of</w:t>
      </w:r>
      <w:r>
        <w:rPr>
          <w:szCs w:val="24"/>
        </w:rPr>
        <w:t xml:space="preserve"> the success fee and the ATE insurance premium) and was obliged to pay the difference of £177.50 to the </w:t>
      </w:r>
      <w:r w:rsidR="00B84EE5">
        <w:rPr>
          <w:szCs w:val="24"/>
        </w:rPr>
        <w:t>Claimant</w:t>
      </w:r>
      <w:r>
        <w:rPr>
          <w:szCs w:val="24"/>
        </w:rPr>
        <w:t xml:space="preserve">. </w:t>
      </w:r>
    </w:p>
    <w:p w14:paraId="13C5B3AB" w14:textId="13156E77" w:rsidR="000E7D87" w:rsidRDefault="000E7D87" w:rsidP="00AC6944">
      <w:pPr>
        <w:pStyle w:val="ListParagraph"/>
        <w:numPr>
          <w:ilvl w:val="0"/>
          <w:numId w:val="15"/>
        </w:numPr>
        <w:spacing w:after="240" w:line="240" w:lineRule="auto"/>
        <w:contextualSpacing w:val="0"/>
        <w:jc w:val="both"/>
        <w:rPr>
          <w:szCs w:val="24"/>
        </w:rPr>
      </w:pPr>
      <w:r>
        <w:rPr>
          <w:szCs w:val="24"/>
        </w:rPr>
        <w:t xml:space="preserve">The </w:t>
      </w:r>
      <w:r w:rsidR="00076CC0">
        <w:rPr>
          <w:szCs w:val="24"/>
        </w:rPr>
        <w:t>d</w:t>
      </w:r>
      <w:r w:rsidR="00E57DAB">
        <w:rPr>
          <w:szCs w:val="24"/>
        </w:rPr>
        <w:t>istrict</w:t>
      </w:r>
      <w:r>
        <w:rPr>
          <w:szCs w:val="24"/>
        </w:rPr>
        <w:t xml:space="preserve"> </w:t>
      </w:r>
      <w:r w:rsidR="00076CC0">
        <w:rPr>
          <w:szCs w:val="24"/>
        </w:rPr>
        <w:t>j</w:t>
      </w:r>
      <w:r w:rsidR="00E57DAB">
        <w:rPr>
          <w:szCs w:val="24"/>
        </w:rPr>
        <w:t>udge</w:t>
      </w:r>
      <w:r>
        <w:rPr>
          <w:szCs w:val="24"/>
        </w:rPr>
        <w:t xml:space="preserve"> gave the Defendant permission to appeal against his decision that the Defendant’s base costs were limited to the base costs recovered inter partes by the Claimant.</w:t>
      </w:r>
      <w:r w:rsidR="00BE4035">
        <w:rPr>
          <w:szCs w:val="24"/>
        </w:rPr>
        <w:t xml:space="preserve">  I will call this “the limitation decision”.</w:t>
      </w:r>
    </w:p>
    <w:p w14:paraId="228A5BF3" w14:textId="48AEDB23" w:rsidR="000E7D87" w:rsidRPr="005E02EE" w:rsidRDefault="000E7D87" w:rsidP="00AC6944">
      <w:pPr>
        <w:pStyle w:val="ListParagraph"/>
        <w:spacing w:after="240" w:line="240" w:lineRule="auto"/>
        <w:contextualSpacing w:val="0"/>
        <w:jc w:val="both"/>
        <w:rPr>
          <w:b/>
          <w:bCs/>
          <w:i/>
          <w:iCs/>
          <w:szCs w:val="24"/>
        </w:rPr>
      </w:pPr>
      <w:r>
        <w:rPr>
          <w:b/>
          <w:bCs/>
          <w:i/>
          <w:iCs/>
          <w:szCs w:val="24"/>
        </w:rPr>
        <w:t>(</w:t>
      </w:r>
      <w:r w:rsidR="00FC58F6">
        <w:rPr>
          <w:b/>
          <w:bCs/>
          <w:i/>
          <w:iCs/>
          <w:szCs w:val="24"/>
        </w:rPr>
        <w:t>2</w:t>
      </w:r>
      <w:r>
        <w:rPr>
          <w:b/>
          <w:bCs/>
          <w:i/>
          <w:iCs/>
          <w:szCs w:val="24"/>
        </w:rPr>
        <w:t>)</w:t>
      </w:r>
      <w:r w:rsidR="00FC58F6">
        <w:rPr>
          <w:b/>
          <w:bCs/>
          <w:i/>
          <w:iCs/>
          <w:szCs w:val="24"/>
        </w:rPr>
        <w:t>(h)</w:t>
      </w:r>
      <w:r>
        <w:rPr>
          <w:b/>
          <w:bCs/>
          <w:i/>
          <w:iCs/>
          <w:szCs w:val="24"/>
        </w:rPr>
        <w:t xml:space="preserve"> The </w:t>
      </w:r>
      <w:r w:rsidR="00201148">
        <w:rPr>
          <w:b/>
          <w:bCs/>
          <w:i/>
          <w:iCs/>
          <w:szCs w:val="24"/>
        </w:rPr>
        <w:t>Instigation o</w:t>
      </w:r>
      <w:r w:rsidR="006E1744">
        <w:rPr>
          <w:b/>
          <w:bCs/>
          <w:i/>
          <w:iCs/>
          <w:szCs w:val="24"/>
        </w:rPr>
        <w:t>f</w:t>
      </w:r>
      <w:r w:rsidR="00201148">
        <w:rPr>
          <w:b/>
          <w:bCs/>
          <w:i/>
          <w:iCs/>
          <w:szCs w:val="24"/>
        </w:rPr>
        <w:t xml:space="preserve"> this </w:t>
      </w:r>
      <w:r>
        <w:rPr>
          <w:b/>
          <w:bCs/>
          <w:i/>
          <w:iCs/>
          <w:szCs w:val="24"/>
        </w:rPr>
        <w:t>Appeal</w:t>
      </w:r>
    </w:p>
    <w:p w14:paraId="30F62EED" w14:textId="111D25E0" w:rsidR="000E7D87" w:rsidRDefault="000E7D87" w:rsidP="00AC6944">
      <w:pPr>
        <w:pStyle w:val="ListParagraph"/>
        <w:numPr>
          <w:ilvl w:val="0"/>
          <w:numId w:val="15"/>
        </w:numPr>
        <w:spacing w:after="240" w:line="240" w:lineRule="auto"/>
        <w:contextualSpacing w:val="0"/>
        <w:jc w:val="both"/>
        <w:rPr>
          <w:szCs w:val="24"/>
        </w:rPr>
      </w:pPr>
      <w:r>
        <w:rPr>
          <w:szCs w:val="24"/>
        </w:rPr>
        <w:t xml:space="preserve">The </w:t>
      </w:r>
      <w:r w:rsidR="00076CC0">
        <w:rPr>
          <w:szCs w:val="24"/>
        </w:rPr>
        <w:t>a</w:t>
      </w:r>
      <w:r>
        <w:rPr>
          <w:szCs w:val="24"/>
        </w:rPr>
        <w:t xml:space="preserve">ppellant’s </w:t>
      </w:r>
      <w:r w:rsidR="00076CC0">
        <w:rPr>
          <w:szCs w:val="24"/>
        </w:rPr>
        <w:t>n</w:t>
      </w:r>
      <w:r>
        <w:rPr>
          <w:szCs w:val="24"/>
        </w:rPr>
        <w:t>otice was filed by the Defendant on 13 February 2020.  There were three grounds of appeal</w:t>
      </w:r>
      <w:r w:rsidR="00076CC0">
        <w:rPr>
          <w:szCs w:val="24"/>
        </w:rPr>
        <w:t>.</w:t>
      </w:r>
    </w:p>
    <w:p w14:paraId="6F731608" w14:textId="2FBF4404" w:rsidR="000E7D87" w:rsidRDefault="000E7D87" w:rsidP="00AC6944">
      <w:pPr>
        <w:pStyle w:val="ListParagraph"/>
        <w:numPr>
          <w:ilvl w:val="0"/>
          <w:numId w:val="15"/>
        </w:numPr>
        <w:spacing w:after="240" w:line="240" w:lineRule="auto"/>
        <w:contextualSpacing w:val="0"/>
        <w:jc w:val="both"/>
        <w:rPr>
          <w:szCs w:val="24"/>
        </w:rPr>
      </w:pPr>
      <w:r>
        <w:rPr>
          <w:szCs w:val="24"/>
        </w:rPr>
        <w:t>Ground 1 challeng</w:t>
      </w:r>
      <w:r w:rsidR="00765690">
        <w:rPr>
          <w:szCs w:val="24"/>
        </w:rPr>
        <w:t>e</w:t>
      </w:r>
      <w:r>
        <w:rPr>
          <w:szCs w:val="24"/>
        </w:rPr>
        <w:t xml:space="preserve">d the </w:t>
      </w:r>
      <w:r w:rsidR="00BE4035">
        <w:rPr>
          <w:szCs w:val="24"/>
        </w:rPr>
        <w:t xml:space="preserve">limitation decision.  </w:t>
      </w:r>
      <w:r w:rsidR="00076CC0">
        <w:rPr>
          <w:szCs w:val="24"/>
        </w:rPr>
        <w:t>As I have said, t</w:t>
      </w:r>
      <w:r>
        <w:rPr>
          <w:szCs w:val="24"/>
        </w:rPr>
        <w:t>he Defendant had permission to a</w:t>
      </w:r>
      <w:r w:rsidR="00076CC0">
        <w:rPr>
          <w:szCs w:val="24"/>
        </w:rPr>
        <w:t>ppeal on</w:t>
      </w:r>
      <w:r>
        <w:rPr>
          <w:szCs w:val="24"/>
        </w:rPr>
        <w:t xml:space="preserve"> that ground.</w:t>
      </w:r>
    </w:p>
    <w:p w14:paraId="2D212C3D" w14:textId="42FF33FF" w:rsidR="000E7D87" w:rsidRDefault="000E7D87" w:rsidP="00AC6944">
      <w:pPr>
        <w:pStyle w:val="ListParagraph"/>
        <w:numPr>
          <w:ilvl w:val="0"/>
          <w:numId w:val="15"/>
        </w:numPr>
        <w:spacing w:after="240" w:line="240" w:lineRule="auto"/>
        <w:contextualSpacing w:val="0"/>
        <w:jc w:val="both"/>
        <w:rPr>
          <w:szCs w:val="24"/>
        </w:rPr>
      </w:pPr>
      <w:r>
        <w:rPr>
          <w:szCs w:val="24"/>
        </w:rPr>
        <w:t xml:space="preserve">Ground 2 </w:t>
      </w:r>
      <w:r w:rsidR="00FC58F6">
        <w:rPr>
          <w:szCs w:val="24"/>
        </w:rPr>
        <w:t xml:space="preserve">was in the </w:t>
      </w:r>
      <w:r>
        <w:rPr>
          <w:szCs w:val="24"/>
        </w:rPr>
        <w:t>follow</w:t>
      </w:r>
      <w:r w:rsidR="00FC58F6">
        <w:rPr>
          <w:szCs w:val="24"/>
        </w:rPr>
        <w:t>ing terms</w:t>
      </w:r>
      <w:r>
        <w:rPr>
          <w:szCs w:val="24"/>
        </w:rPr>
        <w:t>:</w:t>
      </w:r>
    </w:p>
    <w:p w14:paraId="6CAAF966" w14:textId="13468129" w:rsidR="000E7D87" w:rsidRDefault="00BE4035" w:rsidP="00AC6944">
      <w:pPr>
        <w:pStyle w:val="ListParagraph"/>
        <w:spacing w:after="240" w:line="240" w:lineRule="auto"/>
        <w:ind w:left="1440"/>
        <w:contextualSpacing w:val="0"/>
        <w:jc w:val="both"/>
        <w:rPr>
          <w:szCs w:val="24"/>
        </w:rPr>
      </w:pPr>
      <w:r>
        <w:rPr>
          <w:szCs w:val="24"/>
        </w:rPr>
        <w:t xml:space="preserve">“If and in so far as it </w:t>
      </w:r>
      <w:r w:rsidR="00B84EE5">
        <w:rPr>
          <w:szCs w:val="24"/>
        </w:rPr>
        <w:t>is</w:t>
      </w:r>
      <w:r>
        <w:rPr>
          <w:szCs w:val="24"/>
        </w:rPr>
        <w:t xml:space="preserve"> necessary to address the issue, the </w:t>
      </w:r>
      <w:r w:rsidR="00E57DAB">
        <w:rPr>
          <w:szCs w:val="24"/>
        </w:rPr>
        <w:t>district</w:t>
      </w:r>
      <w:r>
        <w:rPr>
          <w:szCs w:val="24"/>
        </w:rPr>
        <w:t xml:space="preserve"> </w:t>
      </w:r>
      <w:r w:rsidR="00E57DAB">
        <w:rPr>
          <w:szCs w:val="24"/>
        </w:rPr>
        <w:t>judge</w:t>
      </w:r>
      <w:r>
        <w:rPr>
          <w:szCs w:val="24"/>
        </w:rPr>
        <w:t xml:space="preserve"> was wrong to conclude that, if court </w:t>
      </w:r>
      <w:r w:rsidR="00B84EE5">
        <w:rPr>
          <w:szCs w:val="24"/>
        </w:rPr>
        <w:t>proceedings</w:t>
      </w:r>
      <w:r>
        <w:rPr>
          <w:szCs w:val="24"/>
        </w:rPr>
        <w:t xml:space="preserve"> had bee</w:t>
      </w:r>
      <w:r w:rsidR="00076CC0">
        <w:rPr>
          <w:szCs w:val="24"/>
        </w:rPr>
        <w:t>n</w:t>
      </w:r>
      <w:r>
        <w:rPr>
          <w:szCs w:val="24"/>
        </w:rPr>
        <w:t xml:space="preserve"> issued, (which they </w:t>
      </w:r>
      <w:r w:rsidR="00B84EE5">
        <w:rPr>
          <w:szCs w:val="24"/>
        </w:rPr>
        <w:t>had</w:t>
      </w:r>
      <w:r>
        <w:rPr>
          <w:szCs w:val="24"/>
        </w:rPr>
        <w:t xml:space="preserve"> not), SA 1974 s 74(3) would </w:t>
      </w:r>
      <w:r w:rsidR="00B84EE5">
        <w:rPr>
          <w:szCs w:val="24"/>
        </w:rPr>
        <w:t>have</w:t>
      </w:r>
      <w:r>
        <w:rPr>
          <w:szCs w:val="24"/>
        </w:rPr>
        <w:t xml:space="preserve"> bee</w:t>
      </w:r>
      <w:r w:rsidR="00076CC0">
        <w:rPr>
          <w:szCs w:val="24"/>
        </w:rPr>
        <w:t>n</w:t>
      </w:r>
      <w:r>
        <w:rPr>
          <w:szCs w:val="24"/>
        </w:rPr>
        <w:t xml:space="preserve"> </w:t>
      </w:r>
      <w:r w:rsidR="00B84EE5">
        <w:rPr>
          <w:szCs w:val="24"/>
        </w:rPr>
        <w:t>engaged</w:t>
      </w:r>
      <w:r>
        <w:rPr>
          <w:szCs w:val="24"/>
        </w:rPr>
        <w:t xml:space="preserve"> to limit basic charges to inter partes recovery.  The </w:t>
      </w:r>
      <w:r w:rsidR="00E57DAB">
        <w:rPr>
          <w:szCs w:val="24"/>
        </w:rPr>
        <w:t>district</w:t>
      </w:r>
      <w:r>
        <w:rPr>
          <w:szCs w:val="24"/>
        </w:rPr>
        <w:t xml:space="preserve"> </w:t>
      </w:r>
      <w:r w:rsidR="00E57DAB">
        <w:rPr>
          <w:szCs w:val="24"/>
        </w:rPr>
        <w:t>judge</w:t>
      </w:r>
      <w:r>
        <w:rPr>
          <w:szCs w:val="24"/>
        </w:rPr>
        <w:t xml:space="preserve"> was </w:t>
      </w:r>
      <w:r w:rsidR="00B84EE5">
        <w:rPr>
          <w:szCs w:val="24"/>
        </w:rPr>
        <w:t>wrong</w:t>
      </w:r>
      <w:r>
        <w:rPr>
          <w:szCs w:val="24"/>
        </w:rPr>
        <w:t xml:space="preserve"> </w:t>
      </w:r>
      <w:r w:rsidR="00B84EE5">
        <w:rPr>
          <w:szCs w:val="24"/>
        </w:rPr>
        <w:t>not</w:t>
      </w:r>
      <w:r>
        <w:rPr>
          <w:szCs w:val="24"/>
        </w:rPr>
        <w:t xml:space="preserve"> to </w:t>
      </w:r>
      <w:r w:rsidR="00B84EE5">
        <w:rPr>
          <w:szCs w:val="24"/>
        </w:rPr>
        <w:t>conclude</w:t>
      </w:r>
      <w:r>
        <w:rPr>
          <w:szCs w:val="24"/>
        </w:rPr>
        <w:t xml:space="preserve"> that the C</w:t>
      </w:r>
      <w:r w:rsidR="00076CC0">
        <w:rPr>
          <w:szCs w:val="24"/>
        </w:rPr>
        <w:t>F</w:t>
      </w:r>
      <w:r>
        <w:rPr>
          <w:szCs w:val="24"/>
        </w:rPr>
        <w:t>A had the effect that SA 1974 s 74(3) was disapplied under CPR r. 46.9(2).”</w:t>
      </w:r>
    </w:p>
    <w:p w14:paraId="762EA4B4" w14:textId="42B0C689" w:rsidR="000E7D87" w:rsidRDefault="000E7D87" w:rsidP="00AC6944">
      <w:pPr>
        <w:pStyle w:val="ListParagraph"/>
        <w:numPr>
          <w:ilvl w:val="0"/>
          <w:numId w:val="15"/>
        </w:numPr>
        <w:spacing w:after="240" w:line="240" w:lineRule="auto"/>
        <w:contextualSpacing w:val="0"/>
        <w:jc w:val="both"/>
        <w:rPr>
          <w:szCs w:val="24"/>
        </w:rPr>
      </w:pPr>
      <w:r>
        <w:rPr>
          <w:szCs w:val="24"/>
        </w:rPr>
        <w:t xml:space="preserve">The Defendant needed the permission of this court to advance ground 2, but, in the event, at the hearing </w:t>
      </w:r>
      <w:r w:rsidR="00FC58F6">
        <w:rPr>
          <w:szCs w:val="24"/>
        </w:rPr>
        <w:t xml:space="preserve">before me </w:t>
      </w:r>
      <w:r>
        <w:rPr>
          <w:szCs w:val="24"/>
        </w:rPr>
        <w:t>Mr Marven conceded that it was not necessary to address the issue identified in ground 2.</w:t>
      </w:r>
    </w:p>
    <w:p w14:paraId="767187E5" w14:textId="06235435" w:rsidR="000E7D87" w:rsidRDefault="000E7D87" w:rsidP="00AC6944">
      <w:pPr>
        <w:pStyle w:val="ListParagraph"/>
        <w:numPr>
          <w:ilvl w:val="0"/>
          <w:numId w:val="15"/>
        </w:numPr>
        <w:spacing w:after="240" w:line="240" w:lineRule="auto"/>
        <w:contextualSpacing w:val="0"/>
        <w:jc w:val="both"/>
        <w:rPr>
          <w:szCs w:val="24"/>
        </w:rPr>
      </w:pPr>
      <w:r>
        <w:rPr>
          <w:szCs w:val="24"/>
        </w:rPr>
        <w:t xml:space="preserve">Ground 3 sought to challenge the </w:t>
      </w:r>
      <w:r w:rsidR="00076CC0">
        <w:rPr>
          <w:szCs w:val="24"/>
        </w:rPr>
        <w:t>d</w:t>
      </w:r>
      <w:r w:rsidR="00E57DAB">
        <w:rPr>
          <w:szCs w:val="24"/>
        </w:rPr>
        <w:t>istrict</w:t>
      </w:r>
      <w:r>
        <w:rPr>
          <w:szCs w:val="24"/>
        </w:rPr>
        <w:t xml:space="preserve"> </w:t>
      </w:r>
      <w:r w:rsidR="00076CC0">
        <w:rPr>
          <w:szCs w:val="24"/>
        </w:rPr>
        <w:t>j</w:t>
      </w:r>
      <w:r w:rsidR="00E57DAB">
        <w:rPr>
          <w:szCs w:val="24"/>
        </w:rPr>
        <w:t>udge</w:t>
      </w:r>
      <w:r>
        <w:rPr>
          <w:szCs w:val="24"/>
        </w:rPr>
        <w:t xml:space="preserve">’s decision that the amount of the bill was £2,731.90 rather than £1,571.50.  </w:t>
      </w:r>
      <w:r w:rsidR="00E5672A">
        <w:rPr>
          <w:szCs w:val="24"/>
        </w:rPr>
        <w:t xml:space="preserve">Since the Defendant accepted that it was liable for the costs of the review of the “on paper” assessment, ground 3 only arises if the appeal is allowed on ground 1.  </w:t>
      </w:r>
      <w:r>
        <w:rPr>
          <w:szCs w:val="24"/>
        </w:rPr>
        <w:t>Again, the Defendant needed the permission of this court to advance ground</w:t>
      </w:r>
      <w:r w:rsidR="00E5672A">
        <w:rPr>
          <w:szCs w:val="24"/>
        </w:rPr>
        <w:t xml:space="preserve"> 3</w:t>
      </w:r>
      <w:r w:rsidR="00285F48">
        <w:rPr>
          <w:szCs w:val="24"/>
        </w:rPr>
        <w:t>.</w:t>
      </w:r>
      <w:r w:rsidR="00E5672A">
        <w:rPr>
          <w:szCs w:val="24"/>
        </w:rPr>
        <w:t xml:space="preserve">  On 1 May 2020 Lambert J ordered that the application for </w:t>
      </w:r>
      <w:r w:rsidR="00E5672A">
        <w:rPr>
          <w:szCs w:val="24"/>
        </w:rPr>
        <w:lastRenderedPageBreak/>
        <w:t xml:space="preserve">permission to appeal on ground 3 and, if permission were granted, the substantive appeal be listed together with the appeal on ground 1. </w:t>
      </w:r>
      <w:r w:rsidR="00285F48">
        <w:rPr>
          <w:szCs w:val="24"/>
        </w:rPr>
        <w:t xml:space="preserve">  </w:t>
      </w:r>
    </w:p>
    <w:p w14:paraId="43F123F3" w14:textId="257819A4" w:rsidR="006A71A2" w:rsidRPr="00201148" w:rsidRDefault="006A71A2" w:rsidP="00AC6944">
      <w:pPr>
        <w:pStyle w:val="ListParagraph"/>
        <w:spacing w:after="240" w:line="240" w:lineRule="auto"/>
        <w:contextualSpacing w:val="0"/>
        <w:jc w:val="both"/>
        <w:rPr>
          <w:b/>
          <w:bCs/>
          <w:i/>
          <w:iCs/>
          <w:szCs w:val="24"/>
        </w:rPr>
      </w:pPr>
      <w:r>
        <w:rPr>
          <w:b/>
          <w:bCs/>
          <w:i/>
          <w:iCs/>
          <w:szCs w:val="24"/>
        </w:rPr>
        <w:t>(2)(i) The Respondent’s Notice</w:t>
      </w:r>
    </w:p>
    <w:p w14:paraId="7C775BCA" w14:textId="3DE5B3AB" w:rsidR="000E7D87" w:rsidRPr="00201148" w:rsidRDefault="00E61A7B" w:rsidP="00AC6944">
      <w:pPr>
        <w:pStyle w:val="ListParagraph"/>
        <w:numPr>
          <w:ilvl w:val="0"/>
          <w:numId w:val="15"/>
        </w:numPr>
        <w:spacing w:after="240" w:line="240" w:lineRule="auto"/>
        <w:contextualSpacing w:val="0"/>
        <w:jc w:val="both"/>
        <w:rPr>
          <w:szCs w:val="24"/>
        </w:rPr>
      </w:pPr>
      <w:r>
        <w:rPr>
          <w:szCs w:val="24"/>
        </w:rPr>
        <w:t>The tim</w:t>
      </w:r>
      <w:r w:rsidR="006A71A2">
        <w:rPr>
          <w:szCs w:val="24"/>
        </w:rPr>
        <w:t>e</w:t>
      </w:r>
      <w:r>
        <w:rPr>
          <w:szCs w:val="24"/>
        </w:rPr>
        <w:t xml:space="preserve"> for filing a </w:t>
      </w:r>
      <w:r w:rsidR="00076CC0">
        <w:rPr>
          <w:szCs w:val="24"/>
        </w:rPr>
        <w:t>r</w:t>
      </w:r>
      <w:r>
        <w:rPr>
          <w:szCs w:val="24"/>
        </w:rPr>
        <w:t xml:space="preserve">espondent’s </w:t>
      </w:r>
      <w:r w:rsidR="00076CC0">
        <w:rPr>
          <w:szCs w:val="24"/>
        </w:rPr>
        <w:t>n</w:t>
      </w:r>
      <w:r>
        <w:rPr>
          <w:szCs w:val="24"/>
        </w:rPr>
        <w:t xml:space="preserve">otice expired on 27 February 2020, pursuant to CPR 52.13(4)(a) &amp; (5)(a)(i).  </w:t>
      </w:r>
      <w:r w:rsidR="000E7D87">
        <w:rPr>
          <w:szCs w:val="24"/>
        </w:rPr>
        <w:t xml:space="preserve">The Claimant did not file a </w:t>
      </w:r>
      <w:r w:rsidR="00076CC0">
        <w:rPr>
          <w:szCs w:val="24"/>
        </w:rPr>
        <w:t>r</w:t>
      </w:r>
      <w:r w:rsidR="000E7D87">
        <w:rPr>
          <w:szCs w:val="24"/>
        </w:rPr>
        <w:t xml:space="preserve">espondent’s </w:t>
      </w:r>
      <w:r w:rsidR="00076CC0">
        <w:rPr>
          <w:szCs w:val="24"/>
        </w:rPr>
        <w:t>n</w:t>
      </w:r>
      <w:r w:rsidR="000E7D87">
        <w:rPr>
          <w:szCs w:val="24"/>
        </w:rPr>
        <w:t>otice</w:t>
      </w:r>
      <w:r w:rsidR="00FC58F6">
        <w:rPr>
          <w:szCs w:val="24"/>
        </w:rPr>
        <w:t>, despite the fact that, pursuant to CPR 52.13(2)(b), the Cla</w:t>
      </w:r>
      <w:r w:rsidR="00C44E59">
        <w:rPr>
          <w:szCs w:val="24"/>
        </w:rPr>
        <w:t>imant</w:t>
      </w:r>
      <w:r w:rsidR="00FC58F6">
        <w:rPr>
          <w:szCs w:val="24"/>
        </w:rPr>
        <w:t xml:space="preserve"> was obliged to fil</w:t>
      </w:r>
      <w:r w:rsidR="00C44E59">
        <w:rPr>
          <w:szCs w:val="24"/>
        </w:rPr>
        <w:t>e</w:t>
      </w:r>
      <w:r w:rsidR="00FC58F6">
        <w:rPr>
          <w:szCs w:val="24"/>
        </w:rPr>
        <w:t xml:space="preserve"> a </w:t>
      </w:r>
      <w:r w:rsidR="00076CC0">
        <w:rPr>
          <w:szCs w:val="24"/>
        </w:rPr>
        <w:t>r</w:t>
      </w:r>
      <w:r w:rsidR="00FC58F6">
        <w:rPr>
          <w:szCs w:val="24"/>
        </w:rPr>
        <w:t xml:space="preserve">espondent’s </w:t>
      </w:r>
      <w:r w:rsidR="00076CC0">
        <w:rPr>
          <w:szCs w:val="24"/>
        </w:rPr>
        <w:t>n</w:t>
      </w:r>
      <w:r w:rsidR="00FC58F6">
        <w:rPr>
          <w:szCs w:val="24"/>
        </w:rPr>
        <w:t xml:space="preserve">otice if she wished to </w:t>
      </w:r>
      <w:bookmarkStart w:id="4" w:name="_Hlk69315348"/>
      <w:r w:rsidR="00FC58F6">
        <w:rPr>
          <w:szCs w:val="24"/>
        </w:rPr>
        <w:t xml:space="preserve">ask the court to uphold the </w:t>
      </w:r>
      <w:r w:rsidR="00076CC0">
        <w:rPr>
          <w:szCs w:val="24"/>
        </w:rPr>
        <w:t>d</w:t>
      </w:r>
      <w:r w:rsidR="00E57DAB">
        <w:rPr>
          <w:szCs w:val="24"/>
        </w:rPr>
        <w:t>istrict</w:t>
      </w:r>
      <w:r w:rsidR="00FC58F6">
        <w:rPr>
          <w:szCs w:val="24"/>
        </w:rPr>
        <w:t xml:space="preserve"> </w:t>
      </w:r>
      <w:r w:rsidR="00076CC0">
        <w:rPr>
          <w:szCs w:val="24"/>
        </w:rPr>
        <w:t>j</w:t>
      </w:r>
      <w:r w:rsidR="00E57DAB">
        <w:rPr>
          <w:szCs w:val="24"/>
        </w:rPr>
        <w:t>udge</w:t>
      </w:r>
      <w:r w:rsidR="00FC58F6">
        <w:rPr>
          <w:szCs w:val="24"/>
        </w:rPr>
        <w:t xml:space="preserve">’s decision </w:t>
      </w:r>
      <w:r w:rsidR="00201148">
        <w:rPr>
          <w:szCs w:val="24"/>
        </w:rPr>
        <w:t xml:space="preserve">(i.e. </w:t>
      </w:r>
      <w:bookmarkStart w:id="5" w:name="_Hlk69315792"/>
      <w:r w:rsidR="008759CA">
        <w:rPr>
          <w:szCs w:val="24"/>
        </w:rPr>
        <w:t>the limitation decision</w:t>
      </w:r>
      <w:r w:rsidR="00201148">
        <w:rPr>
          <w:szCs w:val="24"/>
        </w:rPr>
        <w:t>)</w:t>
      </w:r>
      <w:r w:rsidR="00FC58F6" w:rsidRPr="00201148">
        <w:rPr>
          <w:szCs w:val="24"/>
        </w:rPr>
        <w:t xml:space="preserve"> </w:t>
      </w:r>
      <w:bookmarkEnd w:id="5"/>
      <w:r w:rsidR="00FC58F6" w:rsidRPr="00201148">
        <w:rPr>
          <w:szCs w:val="24"/>
        </w:rPr>
        <w:t>fo</w:t>
      </w:r>
      <w:r w:rsidR="00C44E59" w:rsidRPr="00201148">
        <w:rPr>
          <w:szCs w:val="24"/>
        </w:rPr>
        <w:t>r</w:t>
      </w:r>
      <w:r w:rsidR="00FC58F6" w:rsidRPr="00201148">
        <w:rPr>
          <w:szCs w:val="24"/>
        </w:rPr>
        <w:t xml:space="preserve"> reasons different from or additional to those given by the </w:t>
      </w:r>
      <w:r w:rsidR="00076CC0">
        <w:rPr>
          <w:szCs w:val="24"/>
        </w:rPr>
        <w:t>d</w:t>
      </w:r>
      <w:r w:rsidR="00E57DAB">
        <w:rPr>
          <w:szCs w:val="24"/>
        </w:rPr>
        <w:t>istrict</w:t>
      </w:r>
      <w:r w:rsidR="00FC58F6" w:rsidRPr="00201148">
        <w:rPr>
          <w:szCs w:val="24"/>
        </w:rPr>
        <w:t xml:space="preserve"> </w:t>
      </w:r>
      <w:r w:rsidR="00076CC0">
        <w:rPr>
          <w:szCs w:val="24"/>
        </w:rPr>
        <w:t>j</w:t>
      </w:r>
      <w:r w:rsidR="00E57DAB">
        <w:rPr>
          <w:szCs w:val="24"/>
        </w:rPr>
        <w:t>udge</w:t>
      </w:r>
      <w:r w:rsidR="00FC58F6" w:rsidRPr="00201148">
        <w:rPr>
          <w:szCs w:val="24"/>
        </w:rPr>
        <w:t>.</w:t>
      </w:r>
      <w:bookmarkEnd w:id="4"/>
    </w:p>
    <w:p w14:paraId="44B77301" w14:textId="681462BB" w:rsidR="00FC58F6" w:rsidRDefault="00FC58F6" w:rsidP="00AC6944">
      <w:pPr>
        <w:pStyle w:val="ListParagraph"/>
        <w:numPr>
          <w:ilvl w:val="0"/>
          <w:numId w:val="15"/>
        </w:numPr>
        <w:spacing w:after="240" w:line="240" w:lineRule="auto"/>
        <w:contextualSpacing w:val="0"/>
        <w:jc w:val="both"/>
        <w:rPr>
          <w:szCs w:val="24"/>
        </w:rPr>
      </w:pPr>
      <w:r>
        <w:rPr>
          <w:szCs w:val="24"/>
        </w:rPr>
        <w:t xml:space="preserve">As to that, </w:t>
      </w:r>
      <w:r w:rsidR="0099359A">
        <w:rPr>
          <w:szCs w:val="24"/>
        </w:rPr>
        <w:t>one</w:t>
      </w:r>
      <w:r>
        <w:rPr>
          <w:szCs w:val="24"/>
        </w:rPr>
        <w:t xml:space="preserve"> potential ba</w:t>
      </w:r>
      <w:r w:rsidR="00195547">
        <w:rPr>
          <w:szCs w:val="24"/>
        </w:rPr>
        <w:t>si</w:t>
      </w:r>
      <w:r>
        <w:rPr>
          <w:szCs w:val="24"/>
        </w:rPr>
        <w:t xml:space="preserve">s </w:t>
      </w:r>
      <w:r w:rsidR="00195547">
        <w:rPr>
          <w:szCs w:val="24"/>
        </w:rPr>
        <w:t>fo</w:t>
      </w:r>
      <w:r>
        <w:rPr>
          <w:szCs w:val="24"/>
        </w:rPr>
        <w:t xml:space="preserve">r </w:t>
      </w:r>
      <w:r w:rsidRPr="00FC58F6">
        <w:rPr>
          <w:szCs w:val="24"/>
        </w:rPr>
        <w:t>ask</w:t>
      </w:r>
      <w:r>
        <w:rPr>
          <w:szCs w:val="24"/>
        </w:rPr>
        <w:t>ing</w:t>
      </w:r>
      <w:r w:rsidRPr="00FC58F6">
        <w:rPr>
          <w:szCs w:val="24"/>
        </w:rPr>
        <w:t xml:space="preserve"> the court to uphold the </w:t>
      </w:r>
      <w:r w:rsidR="008759CA">
        <w:rPr>
          <w:szCs w:val="24"/>
        </w:rPr>
        <w:t>limitation decision</w:t>
      </w:r>
      <w:r w:rsidRPr="00FC58F6">
        <w:rPr>
          <w:szCs w:val="24"/>
        </w:rPr>
        <w:t xml:space="preserve"> fo</w:t>
      </w:r>
      <w:r>
        <w:rPr>
          <w:szCs w:val="24"/>
        </w:rPr>
        <w:t>r</w:t>
      </w:r>
      <w:r w:rsidRPr="00FC58F6">
        <w:rPr>
          <w:szCs w:val="24"/>
        </w:rPr>
        <w:t xml:space="preserve"> reasons different from or additional to those given by the </w:t>
      </w:r>
      <w:r w:rsidR="00370210">
        <w:rPr>
          <w:szCs w:val="24"/>
        </w:rPr>
        <w:t>d</w:t>
      </w:r>
      <w:r w:rsidR="00E57DAB">
        <w:rPr>
          <w:szCs w:val="24"/>
        </w:rPr>
        <w:t>istrict</w:t>
      </w:r>
      <w:r w:rsidRPr="00FC58F6">
        <w:rPr>
          <w:szCs w:val="24"/>
        </w:rPr>
        <w:t xml:space="preserve"> </w:t>
      </w:r>
      <w:r w:rsidR="00370210">
        <w:rPr>
          <w:szCs w:val="24"/>
        </w:rPr>
        <w:t>j</w:t>
      </w:r>
      <w:r w:rsidR="00E57DAB">
        <w:rPr>
          <w:szCs w:val="24"/>
        </w:rPr>
        <w:t>udge</w:t>
      </w:r>
      <w:r>
        <w:rPr>
          <w:szCs w:val="24"/>
        </w:rPr>
        <w:t xml:space="preserve"> was that:</w:t>
      </w:r>
    </w:p>
    <w:p w14:paraId="18AE43D9" w14:textId="51BA6A0E" w:rsidR="00FC58F6" w:rsidRDefault="00370210" w:rsidP="00AC6944">
      <w:pPr>
        <w:pStyle w:val="ListParagraph"/>
        <w:numPr>
          <w:ilvl w:val="1"/>
          <w:numId w:val="15"/>
        </w:numPr>
        <w:spacing w:after="240" w:line="240" w:lineRule="auto"/>
        <w:contextualSpacing w:val="0"/>
        <w:jc w:val="both"/>
        <w:rPr>
          <w:szCs w:val="24"/>
        </w:rPr>
      </w:pPr>
      <w:r>
        <w:rPr>
          <w:szCs w:val="24"/>
        </w:rPr>
        <w:t>sub</w:t>
      </w:r>
      <w:r w:rsidR="00FC58F6">
        <w:rPr>
          <w:szCs w:val="24"/>
        </w:rPr>
        <w:t xml:space="preserve">section 74(3) of the Solicitors Act 1974 applied; </w:t>
      </w:r>
      <w:r w:rsidR="00C44E59">
        <w:rPr>
          <w:szCs w:val="24"/>
        </w:rPr>
        <w:t>but</w:t>
      </w:r>
    </w:p>
    <w:p w14:paraId="196B24EA" w14:textId="6BE45D6A" w:rsidR="00C44E59" w:rsidRDefault="00C44E59" w:rsidP="00AC6944">
      <w:pPr>
        <w:pStyle w:val="ListParagraph"/>
        <w:numPr>
          <w:ilvl w:val="1"/>
          <w:numId w:val="15"/>
        </w:numPr>
        <w:spacing w:after="240" w:line="240" w:lineRule="auto"/>
        <w:contextualSpacing w:val="0"/>
        <w:jc w:val="both"/>
        <w:rPr>
          <w:szCs w:val="24"/>
        </w:rPr>
      </w:pPr>
      <w:r>
        <w:rPr>
          <w:szCs w:val="24"/>
        </w:rPr>
        <w:t xml:space="preserve">the Defendant could not rely on CPR 46.9(2) as disapplying </w:t>
      </w:r>
      <w:r w:rsidR="00370210">
        <w:rPr>
          <w:szCs w:val="24"/>
        </w:rPr>
        <w:t>sub</w:t>
      </w:r>
      <w:r>
        <w:rPr>
          <w:szCs w:val="24"/>
        </w:rPr>
        <w:t>section 74(3) because:</w:t>
      </w:r>
    </w:p>
    <w:p w14:paraId="4D09B53D" w14:textId="7575D09D" w:rsidR="00C44E59" w:rsidRDefault="00C44E59" w:rsidP="00AC6944">
      <w:pPr>
        <w:pStyle w:val="ListParagraph"/>
        <w:numPr>
          <w:ilvl w:val="2"/>
          <w:numId w:val="15"/>
        </w:numPr>
        <w:spacing w:after="240" w:line="240" w:lineRule="auto"/>
        <w:contextualSpacing w:val="0"/>
        <w:jc w:val="both"/>
        <w:rPr>
          <w:szCs w:val="24"/>
        </w:rPr>
      </w:pPr>
      <w:r>
        <w:rPr>
          <w:szCs w:val="24"/>
        </w:rPr>
        <w:t xml:space="preserve">CPR 46.9(2) could only </w:t>
      </w:r>
      <w:r w:rsidR="006E1744">
        <w:rPr>
          <w:szCs w:val="24"/>
        </w:rPr>
        <w:t>be</w:t>
      </w:r>
      <w:r>
        <w:rPr>
          <w:szCs w:val="24"/>
        </w:rPr>
        <w:t xml:space="preserve"> invoked by a solicitor if his client had given informed consent to the relevant written agreement; and</w:t>
      </w:r>
    </w:p>
    <w:p w14:paraId="4AC2A830" w14:textId="72DB73BF" w:rsidR="00FC58F6" w:rsidRPr="00C44E59" w:rsidRDefault="00C44E59" w:rsidP="00AC6944">
      <w:pPr>
        <w:pStyle w:val="ListParagraph"/>
        <w:numPr>
          <w:ilvl w:val="2"/>
          <w:numId w:val="15"/>
        </w:numPr>
        <w:spacing w:after="240" w:line="240" w:lineRule="auto"/>
        <w:contextualSpacing w:val="0"/>
        <w:jc w:val="both"/>
        <w:rPr>
          <w:szCs w:val="24"/>
        </w:rPr>
      </w:pPr>
      <w:r>
        <w:rPr>
          <w:szCs w:val="24"/>
        </w:rPr>
        <w:t xml:space="preserve">the Claimant had </w:t>
      </w:r>
      <w:r w:rsidR="006E1744">
        <w:rPr>
          <w:szCs w:val="24"/>
        </w:rPr>
        <w:t xml:space="preserve">not </w:t>
      </w:r>
      <w:r>
        <w:rPr>
          <w:szCs w:val="24"/>
        </w:rPr>
        <w:t>give</w:t>
      </w:r>
      <w:r w:rsidR="006E1744">
        <w:rPr>
          <w:szCs w:val="24"/>
        </w:rPr>
        <w:t>n</w:t>
      </w:r>
      <w:r>
        <w:rPr>
          <w:szCs w:val="24"/>
        </w:rPr>
        <w:t xml:space="preserve"> informed consent to that written agreement.</w:t>
      </w:r>
    </w:p>
    <w:p w14:paraId="228758D9" w14:textId="67B315F3" w:rsidR="00352B94" w:rsidRDefault="00C44E59" w:rsidP="00AC6944">
      <w:pPr>
        <w:pStyle w:val="ListParagraph"/>
        <w:numPr>
          <w:ilvl w:val="0"/>
          <w:numId w:val="15"/>
        </w:numPr>
        <w:spacing w:after="240" w:line="240" w:lineRule="auto"/>
        <w:contextualSpacing w:val="0"/>
        <w:jc w:val="both"/>
        <w:rPr>
          <w:szCs w:val="24"/>
        </w:rPr>
      </w:pPr>
      <w:r>
        <w:rPr>
          <w:szCs w:val="24"/>
        </w:rPr>
        <w:t>That had, after all, been the Claim</w:t>
      </w:r>
      <w:r w:rsidR="006E1744">
        <w:rPr>
          <w:szCs w:val="24"/>
        </w:rPr>
        <w:t>a</w:t>
      </w:r>
      <w:r>
        <w:rPr>
          <w:szCs w:val="24"/>
        </w:rPr>
        <w:t xml:space="preserve">nt’s primary case for contending that </w:t>
      </w:r>
      <w:r w:rsidRPr="00C44E59">
        <w:rPr>
          <w:szCs w:val="24"/>
        </w:rPr>
        <w:t>the bas</w:t>
      </w:r>
      <w:r w:rsidR="00370210">
        <w:rPr>
          <w:szCs w:val="24"/>
        </w:rPr>
        <w:t>e</w:t>
      </w:r>
      <w:r w:rsidRPr="00C44E59">
        <w:rPr>
          <w:szCs w:val="24"/>
        </w:rPr>
        <w:t xml:space="preserve"> c</w:t>
      </w:r>
      <w:r w:rsidR="00370210">
        <w:rPr>
          <w:szCs w:val="24"/>
        </w:rPr>
        <w:t>osts</w:t>
      </w:r>
      <w:r w:rsidRPr="00C44E59">
        <w:rPr>
          <w:szCs w:val="24"/>
        </w:rPr>
        <w:t xml:space="preserve"> which the Defendant was allowed to charge the Claimant were limited to the amount recovered inter partes</w:t>
      </w:r>
      <w:r>
        <w:rPr>
          <w:szCs w:val="24"/>
        </w:rPr>
        <w:t xml:space="preserve">.  </w:t>
      </w:r>
    </w:p>
    <w:p w14:paraId="182F63BE" w14:textId="5275A6FC" w:rsidR="008F3A6A" w:rsidRPr="00F715B4" w:rsidRDefault="00201148" w:rsidP="00AC6944">
      <w:pPr>
        <w:pStyle w:val="ListParagraph"/>
        <w:numPr>
          <w:ilvl w:val="0"/>
          <w:numId w:val="15"/>
        </w:numPr>
        <w:spacing w:after="240" w:line="240" w:lineRule="auto"/>
        <w:contextualSpacing w:val="0"/>
        <w:jc w:val="both"/>
        <w:rPr>
          <w:szCs w:val="24"/>
        </w:rPr>
      </w:pPr>
      <w:r w:rsidRPr="00F715B4">
        <w:rPr>
          <w:szCs w:val="24"/>
        </w:rPr>
        <w:t>It is relevant to note that</w:t>
      </w:r>
      <w:r w:rsidR="005C3A70" w:rsidRPr="00F715B4">
        <w:rPr>
          <w:szCs w:val="24"/>
        </w:rPr>
        <w:t>, when this appeal was commenced,</w:t>
      </w:r>
      <w:r w:rsidRPr="00F715B4">
        <w:rPr>
          <w:szCs w:val="24"/>
        </w:rPr>
        <w:t xml:space="preserve"> t</w:t>
      </w:r>
      <w:r w:rsidR="00195547" w:rsidRPr="00F715B4">
        <w:rPr>
          <w:szCs w:val="24"/>
        </w:rPr>
        <w:t>he Claim</w:t>
      </w:r>
      <w:r w:rsidR="006E1744" w:rsidRPr="00F715B4">
        <w:rPr>
          <w:szCs w:val="24"/>
        </w:rPr>
        <w:t>a</w:t>
      </w:r>
      <w:r w:rsidR="00195547" w:rsidRPr="00F715B4">
        <w:rPr>
          <w:szCs w:val="24"/>
        </w:rPr>
        <w:t>nt’s solicitors and counsel were involved in at l</w:t>
      </w:r>
      <w:r w:rsidR="006E1744" w:rsidRPr="00F715B4">
        <w:rPr>
          <w:szCs w:val="24"/>
        </w:rPr>
        <w:t>eas</w:t>
      </w:r>
      <w:r w:rsidR="00195547" w:rsidRPr="00F715B4">
        <w:rPr>
          <w:szCs w:val="24"/>
        </w:rPr>
        <w:t xml:space="preserve">t one other appeal which raised </w:t>
      </w:r>
      <w:r w:rsidR="00F715B4" w:rsidRPr="00F715B4">
        <w:rPr>
          <w:szCs w:val="24"/>
        </w:rPr>
        <w:t xml:space="preserve">some </w:t>
      </w:r>
      <w:r w:rsidR="00195547" w:rsidRPr="00F715B4">
        <w:rPr>
          <w:szCs w:val="24"/>
        </w:rPr>
        <w:t>similar issues</w:t>
      </w:r>
      <w:r w:rsidR="006E1744" w:rsidRPr="00F715B4">
        <w:rPr>
          <w:szCs w:val="24"/>
        </w:rPr>
        <w:t xml:space="preserve">, namely </w:t>
      </w:r>
      <w:bookmarkStart w:id="6" w:name="_Hlk71830033"/>
      <w:r w:rsidR="006E1744" w:rsidRPr="00F715B4">
        <w:rPr>
          <w:i/>
          <w:iCs/>
          <w:szCs w:val="24"/>
        </w:rPr>
        <w:t>Belsner v Cam Legal Services Ltd</w:t>
      </w:r>
      <w:bookmarkEnd w:id="6"/>
      <w:r w:rsidR="006E1744" w:rsidRPr="00F715B4">
        <w:rPr>
          <w:szCs w:val="24"/>
        </w:rPr>
        <w:t>, which was an appeal ag</w:t>
      </w:r>
      <w:r w:rsidR="005C3A70" w:rsidRPr="00F715B4">
        <w:rPr>
          <w:szCs w:val="24"/>
        </w:rPr>
        <w:t>a</w:t>
      </w:r>
      <w:r w:rsidR="006E1744" w:rsidRPr="00F715B4">
        <w:rPr>
          <w:szCs w:val="24"/>
        </w:rPr>
        <w:t>in</w:t>
      </w:r>
      <w:r w:rsidR="005C3A70" w:rsidRPr="00F715B4">
        <w:rPr>
          <w:szCs w:val="24"/>
        </w:rPr>
        <w:t>s</w:t>
      </w:r>
      <w:r w:rsidR="006E1744" w:rsidRPr="00F715B4">
        <w:rPr>
          <w:szCs w:val="24"/>
        </w:rPr>
        <w:t>t a</w:t>
      </w:r>
      <w:r w:rsidR="005C3A70" w:rsidRPr="00F715B4">
        <w:rPr>
          <w:szCs w:val="24"/>
        </w:rPr>
        <w:t>n order made</w:t>
      </w:r>
      <w:r w:rsidR="006E1744" w:rsidRPr="00F715B4">
        <w:rPr>
          <w:szCs w:val="24"/>
        </w:rPr>
        <w:t xml:space="preserve"> by the same </w:t>
      </w:r>
      <w:r w:rsidR="00370210" w:rsidRPr="00F715B4">
        <w:rPr>
          <w:szCs w:val="24"/>
        </w:rPr>
        <w:t>d</w:t>
      </w:r>
      <w:r w:rsidR="00E57DAB" w:rsidRPr="00F715B4">
        <w:rPr>
          <w:szCs w:val="24"/>
        </w:rPr>
        <w:t>istrict</w:t>
      </w:r>
      <w:r w:rsidR="006E1744" w:rsidRPr="00F715B4">
        <w:rPr>
          <w:szCs w:val="24"/>
        </w:rPr>
        <w:t xml:space="preserve"> </w:t>
      </w:r>
      <w:r w:rsidR="00370210" w:rsidRPr="00F715B4">
        <w:rPr>
          <w:szCs w:val="24"/>
        </w:rPr>
        <w:t>j</w:t>
      </w:r>
      <w:r w:rsidR="00E57DAB" w:rsidRPr="00F715B4">
        <w:rPr>
          <w:szCs w:val="24"/>
        </w:rPr>
        <w:t>udge</w:t>
      </w:r>
      <w:r w:rsidR="006E1744" w:rsidRPr="00F715B4">
        <w:rPr>
          <w:szCs w:val="24"/>
        </w:rPr>
        <w:t xml:space="preserve"> </w:t>
      </w:r>
      <w:r w:rsidR="005C3A70" w:rsidRPr="00F715B4">
        <w:rPr>
          <w:szCs w:val="24"/>
        </w:rPr>
        <w:t>on 14 August 2019</w:t>
      </w:r>
      <w:r w:rsidR="008F3A6A" w:rsidRPr="00F715B4">
        <w:rPr>
          <w:szCs w:val="24"/>
        </w:rPr>
        <w:t xml:space="preserve">.  </w:t>
      </w:r>
      <w:r w:rsidR="008F3A6A" w:rsidRPr="00F715B4">
        <w:rPr>
          <w:i/>
          <w:iCs/>
          <w:szCs w:val="24"/>
        </w:rPr>
        <w:t>Belsner v Cam Legal Services Ltd</w:t>
      </w:r>
      <w:r w:rsidR="008F3A6A" w:rsidRPr="00F715B4">
        <w:rPr>
          <w:szCs w:val="24"/>
        </w:rPr>
        <w:t xml:space="preserve"> </w:t>
      </w:r>
      <w:r w:rsidR="000478CB" w:rsidRPr="00F715B4">
        <w:rPr>
          <w:szCs w:val="24"/>
        </w:rPr>
        <w:t>was an appeal in which:</w:t>
      </w:r>
    </w:p>
    <w:p w14:paraId="320A623A" w14:textId="46C486C9" w:rsidR="000478CB" w:rsidRDefault="002A21E8" w:rsidP="00AC6944">
      <w:pPr>
        <w:pStyle w:val="ListParagraph"/>
        <w:numPr>
          <w:ilvl w:val="1"/>
          <w:numId w:val="15"/>
        </w:numPr>
        <w:spacing w:after="240" w:line="240" w:lineRule="auto"/>
        <w:contextualSpacing w:val="0"/>
        <w:jc w:val="both"/>
        <w:rPr>
          <w:szCs w:val="24"/>
        </w:rPr>
      </w:pPr>
      <w:bookmarkStart w:id="7" w:name="_Hlk72055420"/>
      <w:r>
        <w:rPr>
          <w:szCs w:val="24"/>
        </w:rPr>
        <w:t xml:space="preserve">The construction issue did </w:t>
      </w:r>
      <w:r w:rsidR="00B84EE5">
        <w:rPr>
          <w:szCs w:val="24"/>
        </w:rPr>
        <w:t>not</w:t>
      </w:r>
      <w:r>
        <w:rPr>
          <w:szCs w:val="24"/>
        </w:rPr>
        <w:t xml:space="preserve"> arise, because i</w:t>
      </w:r>
      <w:r w:rsidR="000478CB">
        <w:rPr>
          <w:szCs w:val="24"/>
        </w:rPr>
        <w:t xml:space="preserve">t was </w:t>
      </w:r>
      <w:r w:rsidR="00B84EE5">
        <w:rPr>
          <w:szCs w:val="24"/>
        </w:rPr>
        <w:t>not</w:t>
      </w:r>
      <w:r w:rsidR="000478CB">
        <w:rPr>
          <w:szCs w:val="24"/>
        </w:rPr>
        <w:t xml:space="preserve"> disputed </w:t>
      </w:r>
      <w:r>
        <w:rPr>
          <w:szCs w:val="24"/>
        </w:rPr>
        <w:t xml:space="preserve">by the parties to that appeal </w:t>
      </w:r>
      <w:r w:rsidR="000478CB">
        <w:rPr>
          <w:szCs w:val="24"/>
        </w:rPr>
        <w:t xml:space="preserve">that </w:t>
      </w:r>
      <w:r w:rsidR="00370210">
        <w:rPr>
          <w:szCs w:val="24"/>
        </w:rPr>
        <w:t>sub</w:t>
      </w:r>
      <w:r w:rsidR="000478CB">
        <w:rPr>
          <w:szCs w:val="24"/>
        </w:rPr>
        <w:t xml:space="preserve">section 74(3) of the Solicitors Act 1974 applied, </w:t>
      </w:r>
      <w:r>
        <w:rPr>
          <w:szCs w:val="24"/>
        </w:rPr>
        <w:t xml:space="preserve">even </w:t>
      </w:r>
      <w:r w:rsidR="000478CB">
        <w:rPr>
          <w:szCs w:val="24"/>
        </w:rPr>
        <w:t xml:space="preserve">though that was, like the present case, a case in </w:t>
      </w:r>
      <w:r w:rsidR="00B84EE5">
        <w:rPr>
          <w:szCs w:val="24"/>
        </w:rPr>
        <w:t>which</w:t>
      </w:r>
      <w:r w:rsidR="000478CB">
        <w:rPr>
          <w:szCs w:val="24"/>
        </w:rPr>
        <w:t xml:space="preserve"> a </w:t>
      </w:r>
      <w:r w:rsidR="00B84EE5">
        <w:rPr>
          <w:szCs w:val="24"/>
        </w:rPr>
        <w:t>claim</w:t>
      </w:r>
      <w:r w:rsidR="000478CB">
        <w:rPr>
          <w:szCs w:val="24"/>
        </w:rPr>
        <w:t xml:space="preserve"> </w:t>
      </w:r>
      <w:r w:rsidR="00370210">
        <w:rPr>
          <w:szCs w:val="24"/>
        </w:rPr>
        <w:t>had been</w:t>
      </w:r>
      <w:r w:rsidR="000478CB">
        <w:rPr>
          <w:szCs w:val="24"/>
        </w:rPr>
        <w:t xml:space="preserve"> made under the </w:t>
      </w:r>
      <w:r w:rsidR="00B84EE5">
        <w:rPr>
          <w:szCs w:val="24"/>
        </w:rPr>
        <w:t>Protocol</w:t>
      </w:r>
      <w:r w:rsidR="000478CB">
        <w:rPr>
          <w:szCs w:val="24"/>
        </w:rPr>
        <w:t xml:space="preserve"> </w:t>
      </w:r>
      <w:r w:rsidR="00370210">
        <w:rPr>
          <w:szCs w:val="24"/>
        </w:rPr>
        <w:t>and ha</w:t>
      </w:r>
      <w:r w:rsidR="00210A4F">
        <w:rPr>
          <w:szCs w:val="24"/>
        </w:rPr>
        <w:t>d</w:t>
      </w:r>
      <w:r w:rsidR="00370210">
        <w:rPr>
          <w:szCs w:val="24"/>
        </w:rPr>
        <w:t xml:space="preserve"> been</w:t>
      </w:r>
      <w:r w:rsidR="000478CB">
        <w:rPr>
          <w:szCs w:val="24"/>
        </w:rPr>
        <w:t xml:space="preserve"> settled before a claim form was issued.</w:t>
      </w:r>
    </w:p>
    <w:bookmarkEnd w:id="7"/>
    <w:p w14:paraId="786C9CA7" w14:textId="15CBDC21" w:rsidR="000478CB" w:rsidRDefault="000478CB" w:rsidP="00AC6944">
      <w:pPr>
        <w:pStyle w:val="ListParagraph"/>
        <w:numPr>
          <w:ilvl w:val="1"/>
          <w:numId w:val="15"/>
        </w:numPr>
        <w:spacing w:after="240" w:line="240" w:lineRule="auto"/>
        <w:contextualSpacing w:val="0"/>
        <w:jc w:val="both"/>
        <w:rPr>
          <w:szCs w:val="24"/>
        </w:rPr>
      </w:pPr>
      <w:r>
        <w:rPr>
          <w:szCs w:val="24"/>
        </w:rPr>
        <w:t>There was a dispute wheth</w:t>
      </w:r>
      <w:r w:rsidR="00E75324">
        <w:rPr>
          <w:szCs w:val="24"/>
        </w:rPr>
        <w:t>e</w:t>
      </w:r>
      <w:r>
        <w:rPr>
          <w:szCs w:val="24"/>
        </w:rPr>
        <w:t xml:space="preserve">r </w:t>
      </w:r>
      <w:r w:rsidR="00E75324">
        <w:rPr>
          <w:szCs w:val="24"/>
        </w:rPr>
        <w:t xml:space="preserve">a solicitor who wished to rely on a written </w:t>
      </w:r>
      <w:r w:rsidR="002A21E8">
        <w:rPr>
          <w:szCs w:val="24"/>
        </w:rPr>
        <w:t>agreement pursuant to CPR 49(2) had to obtain his client’s informed consent to that agreement.</w:t>
      </w:r>
      <w:r w:rsidR="00370210">
        <w:rPr>
          <w:szCs w:val="24"/>
        </w:rPr>
        <w:t xml:space="preserve">  I decided that informed consent was necessary.</w:t>
      </w:r>
    </w:p>
    <w:p w14:paraId="03A853F8" w14:textId="32F92D40" w:rsidR="00195547" w:rsidRDefault="00E75324" w:rsidP="00AC6944">
      <w:pPr>
        <w:pStyle w:val="ListParagraph"/>
        <w:numPr>
          <w:ilvl w:val="1"/>
          <w:numId w:val="15"/>
        </w:numPr>
        <w:spacing w:after="240" w:line="240" w:lineRule="auto"/>
        <w:contextualSpacing w:val="0"/>
        <w:jc w:val="both"/>
        <w:rPr>
          <w:szCs w:val="24"/>
        </w:rPr>
      </w:pPr>
      <w:r>
        <w:rPr>
          <w:szCs w:val="24"/>
        </w:rPr>
        <w:t>There was also a dispute whether, on the facts o</w:t>
      </w:r>
      <w:r w:rsidR="002A21E8">
        <w:rPr>
          <w:szCs w:val="24"/>
        </w:rPr>
        <w:t>f</w:t>
      </w:r>
      <w:r>
        <w:rPr>
          <w:szCs w:val="24"/>
        </w:rPr>
        <w:t xml:space="preserve"> that case, the</w:t>
      </w:r>
      <w:r w:rsidR="008F3A6A">
        <w:rPr>
          <w:szCs w:val="24"/>
        </w:rPr>
        <w:t xml:space="preserve"> client had given informed consent to </w:t>
      </w:r>
      <w:r>
        <w:rPr>
          <w:szCs w:val="24"/>
        </w:rPr>
        <w:t>her</w:t>
      </w:r>
      <w:r w:rsidR="008F3A6A">
        <w:rPr>
          <w:szCs w:val="24"/>
        </w:rPr>
        <w:t xml:space="preserve"> written agreement with her solicitor</w:t>
      </w:r>
      <w:r>
        <w:rPr>
          <w:szCs w:val="24"/>
        </w:rPr>
        <w:t>.</w:t>
      </w:r>
      <w:r w:rsidR="00370210">
        <w:rPr>
          <w:szCs w:val="24"/>
        </w:rPr>
        <w:t xml:space="preserve">  I decided that, on the facts o</w:t>
      </w:r>
      <w:r w:rsidR="003A4A76">
        <w:rPr>
          <w:szCs w:val="24"/>
        </w:rPr>
        <w:t>f</w:t>
      </w:r>
      <w:r w:rsidR="00370210">
        <w:rPr>
          <w:szCs w:val="24"/>
        </w:rPr>
        <w:t xml:space="preserve"> that case, the client had not given informed consent.</w:t>
      </w:r>
    </w:p>
    <w:p w14:paraId="22B7DABC" w14:textId="38B087FC" w:rsidR="00195547" w:rsidRDefault="004A018D" w:rsidP="00AC6944">
      <w:pPr>
        <w:pStyle w:val="ListParagraph"/>
        <w:numPr>
          <w:ilvl w:val="0"/>
          <w:numId w:val="15"/>
        </w:numPr>
        <w:spacing w:after="240" w:line="240" w:lineRule="auto"/>
        <w:contextualSpacing w:val="0"/>
        <w:jc w:val="both"/>
        <w:rPr>
          <w:szCs w:val="24"/>
        </w:rPr>
      </w:pPr>
      <w:r>
        <w:rPr>
          <w:szCs w:val="24"/>
        </w:rPr>
        <w:t xml:space="preserve">At the Claimant’s request, I made an order on </w:t>
      </w:r>
      <w:r w:rsidR="008F3A6A">
        <w:rPr>
          <w:szCs w:val="24"/>
        </w:rPr>
        <w:t>5</w:t>
      </w:r>
      <w:r>
        <w:rPr>
          <w:szCs w:val="24"/>
        </w:rPr>
        <w:t xml:space="preserve"> June 2020 extending the time for filing the </w:t>
      </w:r>
      <w:r w:rsidR="00B84EE5">
        <w:rPr>
          <w:szCs w:val="24"/>
        </w:rPr>
        <w:t>Claima</w:t>
      </w:r>
      <w:r w:rsidR="00B84EE5" w:rsidRPr="004A018D">
        <w:rPr>
          <w:szCs w:val="24"/>
        </w:rPr>
        <w:t>nt’s</w:t>
      </w:r>
      <w:r w:rsidRPr="004A018D">
        <w:rPr>
          <w:szCs w:val="24"/>
        </w:rPr>
        <w:t xml:space="preserve"> </w:t>
      </w:r>
      <w:r>
        <w:rPr>
          <w:szCs w:val="24"/>
        </w:rPr>
        <w:t>s</w:t>
      </w:r>
      <w:r w:rsidRPr="004A018D">
        <w:rPr>
          <w:szCs w:val="24"/>
        </w:rPr>
        <w:t xml:space="preserve">keleton </w:t>
      </w:r>
      <w:r>
        <w:rPr>
          <w:szCs w:val="24"/>
        </w:rPr>
        <w:t>a</w:t>
      </w:r>
      <w:r w:rsidRPr="004A018D">
        <w:rPr>
          <w:szCs w:val="24"/>
        </w:rPr>
        <w:t xml:space="preserve">rgument to 14 days after judgment </w:t>
      </w:r>
      <w:r>
        <w:rPr>
          <w:szCs w:val="24"/>
        </w:rPr>
        <w:t>wa</w:t>
      </w:r>
      <w:r w:rsidRPr="004A018D">
        <w:rPr>
          <w:szCs w:val="24"/>
        </w:rPr>
        <w:t xml:space="preserve">s handed down in </w:t>
      </w:r>
      <w:r w:rsidRPr="004A018D">
        <w:rPr>
          <w:i/>
          <w:iCs/>
          <w:szCs w:val="24"/>
        </w:rPr>
        <w:t>Belsner v Cam Legal Services Ltd</w:t>
      </w:r>
      <w:r>
        <w:rPr>
          <w:szCs w:val="24"/>
        </w:rPr>
        <w:t>.  That judgment was handed down on 16 October 2020.</w:t>
      </w:r>
    </w:p>
    <w:p w14:paraId="7E14C05B" w14:textId="675DA769" w:rsidR="008F3A6A" w:rsidRDefault="008F3A6A" w:rsidP="00AC6944">
      <w:pPr>
        <w:pStyle w:val="ListParagraph"/>
        <w:numPr>
          <w:ilvl w:val="0"/>
          <w:numId w:val="15"/>
        </w:numPr>
        <w:spacing w:after="240" w:line="240" w:lineRule="auto"/>
        <w:contextualSpacing w:val="0"/>
        <w:jc w:val="both"/>
        <w:rPr>
          <w:szCs w:val="24"/>
        </w:rPr>
      </w:pPr>
      <w:r>
        <w:rPr>
          <w:szCs w:val="24"/>
        </w:rPr>
        <w:lastRenderedPageBreak/>
        <w:t xml:space="preserve">In a letter to the court dated 22 </w:t>
      </w:r>
      <w:r w:rsidR="002A21E8">
        <w:rPr>
          <w:szCs w:val="24"/>
        </w:rPr>
        <w:t>O</w:t>
      </w:r>
      <w:r>
        <w:rPr>
          <w:szCs w:val="24"/>
        </w:rPr>
        <w:t>ctober 2020</w:t>
      </w:r>
      <w:r w:rsidR="003A4A76">
        <w:rPr>
          <w:szCs w:val="24"/>
        </w:rPr>
        <w:t>,</w:t>
      </w:r>
      <w:r>
        <w:rPr>
          <w:szCs w:val="24"/>
        </w:rPr>
        <w:t xml:space="preserve"> the </w:t>
      </w:r>
      <w:r w:rsidR="00B84EE5">
        <w:rPr>
          <w:szCs w:val="24"/>
        </w:rPr>
        <w:t>Claimant’s</w:t>
      </w:r>
      <w:r>
        <w:rPr>
          <w:szCs w:val="24"/>
        </w:rPr>
        <w:t xml:space="preserve"> solicitors stated, inter ali</w:t>
      </w:r>
      <w:r w:rsidR="00B84EE5">
        <w:rPr>
          <w:szCs w:val="24"/>
        </w:rPr>
        <w:t>a</w:t>
      </w:r>
      <w:r>
        <w:rPr>
          <w:szCs w:val="24"/>
        </w:rPr>
        <w:t>, as follows:</w:t>
      </w:r>
    </w:p>
    <w:p w14:paraId="28586A7E" w14:textId="5A116570" w:rsidR="008F3A6A" w:rsidRDefault="008F3A6A" w:rsidP="00AC6944">
      <w:pPr>
        <w:pStyle w:val="ListParagraph"/>
        <w:spacing w:after="240" w:line="240" w:lineRule="auto"/>
        <w:ind w:left="1440"/>
        <w:contextualSpacing w:val="0"/>
        <w:jc w:val="both"/>
        <w:rPr>
          <w:szCs w:val="24"/>
        </w:rPr>
      </w:pPr>
      <w:r>
        <w:rPr>
          <w:szCs w:val="24"/>
        </w:rPr>
        <w:t>“</w:t>
      </w:r>
      <w:r w:rsidRPr="008F3A6A">
        <w:rPr>
          <w:szCs w:val="24"/>
        </w:rPr>
        <w:t xml:space="preserve">In light of the judgment in Belsner and on consideration of the matter by leading counsel the claimant would wish to serve a respondent’s notice which would seek to contend that the </w:t>
      </w:r>
      <w:r w:rsidR="00E57DAB">
        <w:rPr>
          <w:szCs w:val="24"/>
        </w:rPr>
        <w:t>District</w:t>
      </w:r>
      <w:r w:rsidRPr="008F3A6A">
        <w:rPr>
          <w:szCs w:val="24"/>
        </w:rPr>
        <w:t xml:space="preserve"> </w:t>
      </w:r>
      <w:r w:rsidR="00E57DAB">
        <w:rPr>
          <w:szCs w:val="24"/>
        </w:rPr>
        <w:t>Judge</w:t>
      </w:r>
      <w:r w:rsidRPr="008F3A6A">
        <w:rPr>
          <w:szCs w:val="24"/>
        </w:rPr>
        <w:t xml:space="preserve"> should also have found that s74(3) Solicitors Act 1974 applied. (It would appear – although it is not entirely clear – that the </w:t>
      </w:r>
      <w:r w:rsidR="00E57DAB">
        <w:rPr>
          <w:szCs w:val="24"/>
        </w:rPr>
        <w:t>District</w:t>
      </w:r>
      <w:r w:rsidRPr="008F3A6A">
        <w:rPr>
          <w:szCs w:val="24"/>
        </w:rPr>
        <w:t xml:space="preserve"> </w:t>
      </w:r>
      <w:r w:rsidR="00E57DAB">
        <w:rPr>
          <w:szCs w:val="24"/>
        </w:rPr>
        <w:t>Judge</w:t>
      </w:r>
      <w:r w:rsidRPr="008F3A6A">
        <w:rPr>
          <w:szCs w:val="24"/>
        </w:rPr>
        <w:t xml:space="preserve"> found that there were not proceedings in the County Court and that therefore s74(3) of the Act did not apply.)</w:t>
      </w:r>
      <w:r>
        <w:rPr>
          <w:szCs w:val="24"/>
        </w:rPr>
        <w:t>”</w:t>
      </w:r>
    </w:p>
    <w:p w14:paraId="0C88740D" w14:textId="2568282A" w:rsidR="00210A4F" w:rsidRPr="00210A4F" w:rsidRDefault="00F715B4" w:rsidP="00AC6944">
      <w:pPr>
        <w:pStyle w:val="ListParagraph"/>
        <w:numPr>
          <w:ilvl w:val="0"/>
          <w:numId w:val="15"/>
        </w:numPr>
        <w:spacing w:after="240" w:line="240" w:lineRule="auto"/>
        <w:contextualSpacing w:val="0"/>
        <w:jc w:val="both"/>
        <w:rPr>
          <w:szCs w:val="24"/>
        </w:rPr>
      </w:pPr>
      <w:r>
        <w:rPr>
          <w:szCs w:val="24"/>
        </w:rPr>
        <w:t xml:space="preserve">Thus, for the first time, the Claimant indicated her desire to raise the construction issue on this appeal.  </w:t>
      </w:r>
      <w:r w:rsidR="00556B2A">
        <w:rPr>
          <w:szCs w:val="24"/>
        </w:rPr>
        <w:t xml:space="preserve">The </w:t>
      </w:r>
      <w:r w:rsidR="00B84EE5">
        <w:rPr>
          <w:szCs w:val="24"/>
        </w:rPr>
        <w:t>Claimant’s</w:t>
      </w:r>
      <w:r w:rsidR="00556B2A">
        <w:rPr>
          <w:szCs w:val="24"/>
        </w:rPr>
        <w:t xml:space="preserve"> solicitors went on to express concern that the Defendant would </w:t>
      </w:r>
      <w:r w:rsidR="00B84EE5">
        <w:rPr>
          <w:szCs w:val="24"/>
        </w:rPr>
        <w:t>not</w:t>
      </w:r>
      <w:r w:rsidR="00556B2A">
        <w:rPr>
          <w:szCs w:val="24"/>
        </w:rPr>
        <w:t xml:space="preserve"> </w:t>
      </w:r>
      <w:r w:rsidR="00B84EE5">
        <w:rPr>
          <w:szCs w:val="24"/>
        </w:rPr>
        <w:t>have</w:t>
      </w:r>
      <w:r w:rsidR="00556B2A">
        <w:rPr>
          <w:szCs w:val="24"/>
        </w:rPr>
        <w:t xml:space="preserve"> sufficient </w:t>
      </w:r>
      <w:r w:rsidR="00B84EE5">
        <w:rPr>
          <w:szCs w:val="24"/>
        </w:rPr>
        <w:t>time</w:t>
      </w:r>
      <w:r w:rsidR="00556B2A">
        <w:rPr>
          <w:szCs w:val="24"/>
        </w:rPr>
        <w:t xml:space="preserve"> in which to consider the proposed respon</w:t>
      </w:r>
      <w:r w:rsidR="00B84EE5">
        <w:rPr>
          <w:szCs w:val="24"/>
        </w:rPr>
        <w:t>d</w:t>
      </w:r>
      <w:r w:rsidR="00556B2A">
        <w:rPr>
          <w:szCs w:val="24"/>
        </w:rPr>
        <w:t xml:space="preserve">ent’s notice </w:t>
      </w:r>
      <w:r w:rsidR="004C5020">
        <w:rPr>
          <w:szCs w:val="24"/>
        </w:rPr>
        <w:t xml:space="preserve">in advance </w:t>
      </w:r>
      <w:r w:rsidR="00CF2FB8">
        <w:rPr>
          <w:szCs w:val="24"/>
        </w:rPr>
        <w:t>of</w:t>
      </w:r>
      <w:r w:rsidR="004C5020">
        <w:rPr>
          <w:szCs w:val="24"/>
        </w:rPr>
        <w:t xml:space="preserve"> the date</w:t>
      </w:r>
      <w:r w:rsidR="003A4A76">
        <w:rPr>
          <w:szCs w:val="24"/>
        </w:rPr>
        <w:t xml:space="preserve"> </w:t>
      </w:r>
      <w:r w:rsidR="004C5020">
        <w:rPr>
          <w:szCs w:val="24"/>
        </w:rPr>
        <w:t xml:space="preserve">fixed for </w:t>
      </w:r>
      <w:r w:rsidR="00B84EE5">
        <w:rPr>
          <w:szCs w:val="24"/>
        </w:rPr>
        <w:t>the</w:t>
      </w:r>
      <w:r w:rsidR="004C5020">
        <w:rPr>
          <w:szCs w:val="24"/>
        </w:rPr>
        <w:t xml:space="preserve"> hearing of the appeal, 17 November 2020. </w:t>
      </w:r>
      <w:r w:rsidR="0018546C" w:rsidRPr="00210A4F">
        <w:rPr>
          <w:szCs w:val="24"/>
        </w:rPr>
        <w:t xml:space="preserve">                                                                                                                                                                                                                                                                                                                                                                                                                                                                                                                                                                                                                                                                                                                                                                                                                                                                                                                                                                                                                                                                                                                                                                                                                                                                                                                                                                                                                                                                                                                                                                                                                                                                                       </w:t>
      </w:r>
    </w:p>
    <w:p w14:paraId="0D2225BA" w14:textId="7E9746EA" w:rsidR="064C8778" w:rsidRDefault="004A018D" w:rsidP="00AC6944">
      <w:pPr>
        <w:pStyle w:val="ListParagraph"/>
        <w:numPr>
          <w:ilvl w:val="0"/>
          <w:numId w:val="15"/>
        </w:numPr>
        <w:spacing w:after="240" w:line="240" w:lineRule="auto"/>
        <w:contextualSpacing w:val="0"/>
        <w:jc w:val="both"/>
        <w:rPr>
          <w:szCs w:val="24"/>
        </w:rPr>
      </w:pPr>
      <w:r>
        <w:rPr>
          <w:szCs w:val="24"/>
        </w:rPr>
        <w:t>The Clai</w:t>
      </w:r>
      <w:r w:rsidR="002A21E8">
        <w:rPr>
          <w:szCs w:val="24"/>
        </w:rPr>
        <w:t>ma</w:t>
      </w:r>
      <w:r>
        <w:rPr>
          <w:szCs w:val="24"/>
        </w:rPr>
        <w:t>nt fil</w:t>
      </w:r>
      <w:r w:rsidR="005F640F">
        <w:rPr>
          <w:szCs w:val="24"/>
        </w:rPr>
        <w:t>e</w:t>
      </w:r>
      <w:r>
        <w:rPr>
          <w:szCs w:val="24"/>
        </w:rPr>
        <w:t xml:space="preserve">d and served her skeleton argument on 27 October 2020 and also purported to </w:t>
      </w:r>
      <w:r w:rsidR="00B84EE5">
        <w:rPr>
          <w:szCs w:val="24"/>
        </w:rPr>
        <w:t>file</w:t>
      </w:r>
      <w:r>
        <w:rPr>
          <w:szCs w:val="24"/>
        </w:rPr>
        <w:t xml:space="preserve"> and serve a respondent’s notice.  In section 6 </w:t>
      </w:r>
      <w:r w:rsidR="00CF2FB8">
        <w:rPr>
          <w:szCs w:val="24"/>
        </w:rPr>
        <w:t>of</w:t>
      </w:r>
      <w:r>
        <w:rPr>
          <w:szCs w:val="24"/>
        </w:rPr>
        <w:t xml:space="preserve"> that notice the </w:t>
      </w:r>
      <w:r w:rsidR="00B84EE5">
        <w:rPr>
          <w:szCs w:val="24"/>
        </w:rPr>
        <w:t>Claimant</w:t>
      </w:r>
      <w:r>
        <w:rPr>
          <w:szCs w:val="24"/>
        </w:rPr>
        <w:t xml:space="preserve"> stated that she wished the court to uphold the </w:t>
      </w:r>
      <w:r w:rsidR="003A4A76">
        <w:rPr>
          <w:szCs w:val="24"/>
        </w:rPr>
        <w:t>d</w:t>
      </w:r>
      <w:r w:rsidR="00E57DAB">
        <w:rPr>
          <w:szCs w:val="24"/>
        </w:rPr>
        <w:t>istrict</w:t>
      </w:r>
      <w:r>
        <w:rPr>
          <w:szCs w:val="24"/>
        </w:rPr>
        <w:t xml:space="preserve"> </w:t>
      </w:r>
      <w:r w:rsidR="00E57DAB">
        <w:rPr>
          <w:szCs w:val="24"/>
        </w:rPr>
        <w:t>judge</w:t>
      </w:r>
      <w:r>
        <w:rPr>
          <w:szCs w:val="24"/>
        </w:rPr>
        <w:t>’s order on different or additional grounds because:</w:t>
      </w:r>
    </w:p>
    <w:p w14:paraId="49BA4C34" w14:textId="7A631541" w:rsidR="004A018D" w:rsidRDefault="004A018D" w:rsidP="00AC6944">
      <w:pPr>
        <w:pStyle w:val="ListParagraph"/>
        <w:spacing w:after="240" w:line="240" w:lineRule="auto"/>
        <w:ind w:left="1440"/>
        <w:contextualSpacing w:val="0"/>
        <w:jc w:val="both"/>
        <w:rPr>
          <w:szCs w:val="24"/>
        </w:rPr>
      </w:pPr>
      <w:r>
        <w:rPr>
          <w:szCs w:val="24"/>
        </w:rPr>
        <w:t xml:space="preserve">“the </w:t>
      </w:r>
      <w:r w:rsidR="00E57DAB">
        <w:rPr>
          <w:szCs w:val="24"/>
        </w:rPr>
        <w:t>judge</w:t>
      </w:r>
      <w:r>
        <w:rPr>
          <w:szCs w:val="24"/>
        </w:rPr>
        <w:t xml:space="preserve"> was </w:t>
      </w:r>
      <w:r w:rsidR="00B84EE5">
        <w:rPr>
          <w:szCs w:val="24"/>
        </w:rPr>
        <w:t>wrong</w:t>
      </w:r>
      <w:r>
        <w:rPr>
          <w:szCs w:val="24"/>
        </w:rPr>
        <w:t xml:space="preserve"> to find that s. 74(3) Solicitors Act 1974 did </w:t>
      </w:r>
      <w:r w:rsidR="00B84EE5">
        <w:rPr>
          <w:szCs w:val="24"/>
        </w:rPr>
        <w:t>not</w:t>
      </w:r>
      <w:r>
        <w:rPr>
          <w:szCs w:val="24"/>
        </w:rPr>
        <w:t xml:space="preserve"> apply to this claim.  </w:t>
      </w:r>
      <w:r w:rsidR="00B84EE5">
        <w:rPr>
          <w:szCs w:val="24"/>
        </w:rPr>
        <w:t>Proceedings</w:t>
      </w:r>
      <w:r>
        <w:rPr>
          <w:szCs w:val="24"/>
        </w:rPr>
        <w:t xml:space="preserve"> should be construed to include claims that settle within the MoJ Portal.”</w:t>
      </w:r>
    </w:p>
    <w:p w14:paraId="49724235" w14:textId="790DE71C" w:rsidR="004A018D" w:rsidRDefault="007E647C" w:rsidP="00AC6944">
      <w:pPr>
        <w:pStyle w:val="ListParagraph"/>
        <w:numPr>
          <w:ilvl w:val="0"/>
          <w:numId w:val="15"/>
        </w:numPr>
        <w:spacing w:after="240" w:line="240" w:lineRule="auto"/>
        <w:contextualSpacing w:val="0"/>
        <w:jc w:val="both"/>
        <w:rPr>
          <w:szCs w:val="24"/>
        </w:rPr>
      </w:pPr>
      <w:r>
        <w:rPr>
          <w:szCs w:val="24"/>
        </w:rPr>
        <w:t xml:space="preserve">On 30 October 2020 the </w:t>
      </w:r>
      <w:r w:rsidR="00B84EE5">
        <w:rPr>
          <w:szCs w:val="24"/>
        </w:rPr>
        <w:t>Claimant</w:t>
      </w:r>
      <w:r>
        <w:rPr>
          <w:szCs w:val="24"/>
        </w:rPr>
        <w:t xml:space="preserve"> issued an application notice seeking an order extending the tim</w:t>
      </w:r>
      <w:r w:rsidR="00B84EE5">
        <w:rPr>
          <w:szCs w:val="24"/>
        </w:rPr>
        <w:t>e</w:t>
      </w:r>
      <w:r>
        <w:rPr>
          <w:szCs w:val="24"/>
        </w:rPr>
        <w:t xml:space="preserve"> for filing the </w:t>
      </w:r>
      <w:r w:rsidR="003A4A76">
        <w:rPr>
          <w:szCs w:val="24"/>
        </w:rPr>
        <w:t>r</w:t>
      </w:r>
      <w:r>
        <w:rPr>
          <w:szCs w:val="24"/>
        </w:rPr>
        <w:t xml:space="preserve">espondent’s </w:t>
      </w:r>
      <w:r w:rsidR="003A4A76">
        <w:rPr>
          <w:szCs w:val="24"/>
        </w:rPr>
        <w:t>n</w:t>
      </w:r>
      <w:r>
        <w:rPr>
          <w:szCs w:val="24"/>
        </w:rPr>
        <w:t>otice.  The evidence relied on in th</w:t>
      </w:r>
      <w:r w:rsidR="003A4A76">
        <w:rPr>
          <w:szCs w:val="24"/>
        </w:rPr>
        <w:t>e</w:t>
      </w:r>
      <w:r>
        <w:rPr>
          <w:szCs w:val="24"/>
        </w:rPr>
        <w:t xml:space="preserve"> </w:t>
      </w:r>
      <w:r w:rsidR="00B84EE5">
        <w:rPr>
          <w:szCs w:val="24"/>
        </w:rPr>
        <w:t>application</w:t>
      </w:r>
      <w:r>
        <w:rPr>
          <w:szCs w:val="24"/>
        </w:rPr>
        <w:t xml:space="preserve"> notice was the following statement by </w:t>
      </w:r>
      <w:r w:rsidR="007E017E">
        <w:rPr>
          <w:szCs w:val="24"/>
        </w:rPr>
        <w:t xml:space="preserve">Mark Carlisle, </w:t>
      </w:r>
      <w:r>
        <w:rPr>
          <w:szCs w:val="24"/>
        </w:rPr>
        <w:t xml:space="preserve">a consultant with the </w:t>
      </w:r>
      <w:r w:rsidR="00B84EE5">
        <w:rPr>
          <w:szCs w:val="24"/>
        </w:rPr>
        <w:t>Claimant’s</w:t>
      </w:r>
      <w:r>
        <w:rPr>
          <w:szCs w:val="24"/>
        </w:rPr>
        <w:t xml:space="preserve"> solicitors:</w:t>
      </w:r>
    </w:p>
    <w:p w14:paraId="15487257" w14:textId="6481ED60" w:rsidR="007E017E" w:rsidRDefault="007E017E" w:rsidP="00AC6944">
      <w:pPr>
        <w:pStyle w:val="ListParagraph"/>
        <w:spacing w:after="240" w:line="240" w:lineRule="auto"/>
        <w:ind w:left="2160" w:hanging="720"/>
        <w:contextualSpacing w:val="0"/>
        <w:jc w:val="both"/>
        <w:rPr>
          <w:szCs w:val="24"/>
        </w:rPr>
      </w:pPr>
      <w:r>
        <w:rPr>
          <w:szCs w:val="24"/>
        </w:rPr>
        <w:t xml:space="preserve">“1. </w:t>
      </w:r>
      <w:r>
        <w:rPr>
          <w:szCs w:val="24"/>
        </w:rPr>
        <w:tab/>
        <w:t>The Respondent waited until the High Court determined the issue of whether informed consent was required to displace the presumptions as (</w:t>
      </w:r>
      <w:r>
        <w:rPr>
          <w:i/>
          <w:iCs/>
          <w:szCs w:val="24"/>
        </w:rPr>
        <w:t>sic</w:t>
      </w:r>
      <w:r>
        <w:rPr>
          <w:szCs w:val="24"/>
        </w:rPr>
        <w:t>) s. 74(3) and r. 46.9(2) in Belsner v CAM Legal [2020] EWHC 2755 (QB).  The High Court found that informed consent was required.  Had i</w:t>
      </w:r>
      <w:r w:rsidR="00F715B4">
        <w:rPr>
          <w:szCs w:val="24"/>
        </w:rPr>
        <w:t>t</w:t>
      </w:r>
      <w:r>
        <w:rPr>
          <w:szCs w:val="24"/>
        </w:rPr>
        <w:t xml:space="preserve"> found to the contrary, the issues raised in the Respondent’s Notice filed on (</w:t>
      </w:r>
      <w:r>
        <w:rPr>
          <w:i/>
          <w:iCs/>
          <w:szCs w:val="24"/>
        </w:rPr>
        <w:t>sic</w:t>
      </w:r>
      <w:r>
        <w:rPr>
          <w:szCs w:val="24"/>
        </w:rPr>
        <w:t xml:space="preserve">) would not be relevant.  The question </w:t>
      </w:r>
      <w:r w:rsidR="00ED0402">
        <w:rPr>
          <w:szCs w:val="24"/>
        </w:rPr>
        <w:t>whether s.</w:t>
      </w:r>
      <w:r w:rsidRPr="007E017E">
        <w:rPr>
          <w:szCs w:val="24"/>
        </w:rPr>
        <w:t xml:space="preserve"> 74(3) and r. 46.9(2) </w:t>
      </w:r>
      <w:r>
        <w:rPr>
          <w:szCs w:val="24"/>
        </w:rPr>
        <w:t>apply to cases that settle within the MOJ p</w:t>
      </w:r>
      <w:r w:rsidR="00942778">
        <w:rPr>
          <w:szCs w:val="24"/>
        </w:rPr>
        <w:t>o</w:t>
      </w:r>
      <w:r>
        <w:rPr>
          <w:szCs w:val="24"/>
        </w:rPr>
        <w:t>rtal was fully argued at first instance.  The Appellant is fully aware of the issue and will suffer no prejudice by having to address this point at the appeal.</w:t>
      </w:r>
    </w:p>
    <w:p w14:paraId="179A4CB8" w14:textId="4151E11E" w:rsidR="007E647C" w:rsidRPr="00942778" w:rsidRDefault="00942778" w:rsidP="00AC6944">
      <w:pPr>
        <w:pStyle w:val="ListParagraph"/>
        <w:spacing w:after="240" w:line="240" w:lineRule="auto"/>
        <w:ind w:left="2160" w:hanging="720"/>
        <w:contextualSpacing w:val="0"/>
        <w:jc w:val="both"/>
        <w:rPr>
          <w:szCs w:val="24"/>
        </w:rPr>
      </w:pPr>
      <w:r>
        <w:rPr>
          <w:szCs w:val="24"/>
        </w:rPr>
        <w:t>2.</w:t>
      </w:r>
      <w:r>
        <w:rPr>
          <w:szCs w:val="24"/>
        </w:rPr>
        <w:tab/>
        <w:t>Those representing the Respondent alerted the Court, and the Appellant, to the proposed Respondent’s Notice on 22</w:t>
      </w:r>
      <w:r w:rsidRPr="00942778">
        <w:rPr>
          <w:szCs w:val="24"/>
          <w:vertAlign w:val="superscript"/>
        </w:rPr>
        <w:t>nd</w:t>
      </w:r>
      <w:r>
        <w:rPr>
          <w:szCs w:val="24"/>
        </w:rPr>
        <w:t xml:space="preserve"> October, by way of a latter to the Court, which was copied by email to the Appellant’s representatives.”</w:t>
      </w:r>
      <w:r w:rsidR="007E017E" w:rsidRPr="00942778">
        <w:rPr>
          <w:szCs w:val="24"/>
        </w:rPr>
        <w:t xml:space="preserve"> </w:t>
      </w:r>
    </w:p>
    <w:p w14:paraId="707C3B08" w14:textId="0324A003" w:rsidR="007E647C" w:rsidRDefault="000478CB" w:rsidP="00AC6944">
      <w:pPr>
        <w:pStyle w:val="ListParagraph"/>
        <w:numPr>
          <w:ilvl w:val="0"/>
          <w:numId w:val="15"/>
        </w:numPr>
        <w:spacing w:after="240" w:line="240" w:lineRule="auto"/>
        <w:contextualSpacing w:val="0"/>
        <w:jc w:val="both"/>
        <w:rPr>
          <w:szCs w:val="24"/>
        </w:rPr>
      </w:pPr>
      <w:r>
        <w:rPr>
          <w:szCs w:val="24"/>
        </w:rPr>
        <w:t>On 2 November 2020</w:t>
      </w:r>
      <w:r w:rsidR="005F640F">
        <w:rPr>
          <w:szCs w:val="24"/>
        </w:rPr>
        <w:t xml:space="preserve"> </w:t>
      </w:r>
      <w:r w:rsidR="007E647C">
        <w:rPr>
          <w:szCs w:val="24"/>
        </w:rPr>
        <w:t xml:space="preserve">I </w:t>
      </w:r>
      <w:r w:rsidR="00B84EE5">
        <w:rPr>
          <w:szCs w:val="24"/>
        </w:rPr>
        <w:t>directed</w:t>
      </w:r>
      <w:r w:rsidR="007E647C">
        <w:rPr>
          <w:szCs w:val="24"/>
        </w:rPr>
        <w:t xml:space="preserve"> that I would hear th</w:t>
      </w:r>
      <w:r w:rsidR="00210A4F">
        <w:rPr>
          <w:szCs w:val="24"/>
        </w:rPr>
        <w:t>e Claimant’s</w:t>
      </w:r>
      <w:r w:rsidR="007E647C">
        <w:rPr>
          <w:szCs w:val="24"/>
        </w:rPr>
        <w:t xml:space="preserve"> application at the hearing </w:t>
      </w:r>
      <w:r w:rsidR="00CF2FB8">
        <w:rPr>
          <w:szCs w:val="24"/>
        </w:rPr>
        <w:t>of</w:t>
      </w:r>
      <w:r w:rsidR="007E647C">
        <w:rPr>
          <w:szCs w:val="24"/>
        </w:rPr>
        <w:t xml:space="preserve"> the </w:t>
      </w:r>
      <w:r w:rsidR="00210A4F">
        <w:rPr>
          <w:szCs w:val="24"/>
        </w:rPr>
        <w:t xml:space="preserve">Defendant’s </w:t>
      </w:r>
      <w:r w:rsidR="007E647C">
        <w:rPr>
          <w:szCs w:val="24"/>
        </w:rPr>
        <w:t>appeal.</w:t>
      </w:r>
    </w:p>
    <w:p w14:paraId="578747E5" w14:textId="103BDDEE" w:rsidR="007E647C" w:rsidRPr="007E647C" w:rsidRDefault="007E647C" w:rsidP="00AC6944">
      <w:pPr>
        <w:pStyle w:val="ListParagraph"/>
        <w:spacing w:after="240" w:line="240" w:lineRule="auto"/>
        <w:contextualSpacing w:val="0"/>
        <w:jc w:val="both"/>
        <w:rPr>
          <w:b/>
          <w:bCs/>
          <w:szCs w:val="24"/>
        </w:rPr>
      </w:pPr>
      <w:r>
        <w:rPr>
          <w:b/>
          <w:bCs/>
          <w:szCs w:val="24"/>
        </w:rPr>
        <w:t>(3) The Claimant’s Application</w:t>
      </w:r>
    </w:p>
    <w:p w14:paraId="4EB2D376" w14:textId="7C9C9944" w:rsidR="00D078EC" w:rsidRPr="00D078EC" w:rsidRDefault="00D078EC" w:rsidP="00AC6944">
      <w:pPr>
        <w:pStyle w:val="ListParagraph"/>
        <w:numPr>
          <w:ilvl w:val="0"/>
          <w:numId w:val="15"/>
        </w:numPr>
        <w:spacing w:after="240" w:line="240" w:lineRule="auto"/>
        <w:contextualSpacing w:val="0"/>
        <w:jc w:val="both"/>
        <w:rPr>
          <w:szCs w:val="24"/>
        </w:rPr>
      </w:pPr>
      <w:r>
        <w:rPr>
          <w:szCs w:val="24"/>
        </w:rPr>
        <w:t xml:space="preserve">The legal background to some </w:t>
      </w:r>
      <w:r w:rsidR="00CF2FB8">
        <w:rPr>
          <w:szCs w:val="24"/>
        </w:rPr>
        <w:t>of</w:t>
      </w:r>
      <w:r>
        <w:rPr>
          <w:szCs w:val="24"/>
        </w:rPr>
        <w:t xml:space="preserve"> the issues which the Claimant sought to raise by her </w:t>
      </w:r>
      <w:r w:rsidR="00D37BA4">
        <w:rPr>
          <w:szCs w:val="24"/>
        </w:rPr>
        <w:t>r</w:t>
      </w:r>
      <w:r w:rsidR="00B84EE5">
        <w:rPr>
          <w:szCs w:val="24"/>
        </w:rPr>
        <w:t>espondent’s</w:t>
      </w:r>
      <w:r>
        <w:rPr>
          <w:szCs w:val="24"/>
        </w:rPr>
        <w:t xml:space="preserve"> </w:t>
      </w:r>
      <w:r w:rsidR="00D37BA4">
        <w:rPr>
          <w:szCs w:val="24"/>
        </w:rPr>
        <w:t>n</w:t>
      </w:r>
      <w:r>
        <w:rPr>
          <w:szCs w:val="24"/>
        </w:rPr>
        <w:t xml:space="preserve">otice is set out in </w:t>
      </w:r>
      <w:r w:rsidR="00B84EE5">
        <w:rPr>
          <w:szCs w:val="24"/>
        </w:rPr>
        <w:t>paragraphs</w:t>
      </w:r>
      <w:r>
        <w:rPr>
          <w:szCs w:val="24"/>
        </w:rPr>
        <w:t xml:space="preserve"> 32 to 63 of my judgment in </w:t>
      </w:r>
      <w:bookmarkStart w:id="8" w:name="_Hlk72351136"/>
      <w:r>
        <w:rPr>
          <w:i/>
          <w:iCs/>
          <w:szCs w:val="24"/>
        </w:rPr>
        <w:t xml:space="preserve">Belsner v Cam </w:t>
      </w:r>
      <w:r>
        <w:rPr>
          <w:i/>
          <w:iCs/>
          <w:szCs w:val="24"/>
        </w:rPr>
        <w:lastRenderedPageBreak/>
        <w:t>Legal Services Ltd</w:t>
      </w:r>
      <w:r>
        <w:rPr>
          <w:szCs w:val="24"/>
        </w:rPr>
        <w:t>.</w:t>
      </w:r>
      <w:bookmarkEnd w:id="8"/>
      <w:r>
        <w:rPr>
          <w:szCs w:val="24"/>
        </w:rPr>
        <w:t xml:space="preserve">  I do not propose to repeat what I set out in those paragraphs.  </w:t>
      </w:r>
      <w:r w:rsidRPr="00D078EC">
        <w:rPr>
          <w:szCs w:val="24"/>
        </w:rPr>
        <w:t xml:space="preserve">However, my judgment did </w:t>
      </w:r>
      <w:r w:rsidR="00B84EE5" w:rsidRPr="00D078EC">
        <w:rPr>
          <w:szCs w:val="24"/>
        </w:rPr>
        <w:t>not</w:t>
      </w:r>
      <w:r w:rsidRPr="00D078EC">
        <w:rPr>
          <w:szCs w:val="24"/>
        </w:rPr>
        <w:t xml:space="preserve"> deal with</w:t>
      </w:r>
      <w:r w:rsidR="00B84EE5">
        <w:rPr>
          <w:szCs w:val="24"/>
        </w:rPr>
        <w:t xml:space="preserve"> </w:t>
      </w:r>
      <w:r w:rsidRPr="00D078EC">
        <w:rPr>
          <w:szCs w:val="24"/>
        </w:rPr>
        <w:t>th</w:t>
      </w:r>
      <w:r w:rsidR="00B84EE5">
        <w:rPr>
          <w:szCs w:val="24"/>
        </w:rPr>
        <w:t>e</w:t>
      </w:r>
      <w:r w:rsidRPr="00D078EC">
        <w:rPr>
          <w:szCs w:val="24"/>
        </w:rPr>
        <w:t xml:space="preserve"> construction issue</w:t>
      </w:r>
      <w:r>
        <w:rPr>
          <w:szCs w:val="24"/>
        </w:rPr>
        <w:t xml:space="preserve"> because, as I </w:t>
      </w:r>
      <w:r w:rsidR="00B84EE5">
        <w:rPr>
          <w:szCs w:val="24"/>
        </w:rPr>
        <w:t>have</w:t>
      </w:r>
      <w:r>
        <w:rPr>
          <w:szCs w:val="24"/>
        </w:rPr>
        <w:t xml:space="preserve"> explained, that was not an issue in </w:t>
      </w:r>
      <w:r>
        <w:rPr>
          <w:i/>
          <w:iCs/>
          <w:szCs w:val="24"/>
        </w:rPr>
        <w:t>Belsner v Cam Legal Services Ltd</w:t>
      </w:r>
      <w:r>
        <w:rPr>
          <w:szCs w:val="24"/>
        </w:rPr>
        <w:t>.</w:t>
      </w:r>
    </w:p>
    <w:p w14:paraId="0E479F50" w14:textId="148E9C48" w:rsidR="007E647C" w:rsidRDefault="007E647C" w:rsidP="00AC6944">
      <w:pPr>
        <w:pStyle w:val="ListParagraph"/>
        <w:numPr>
          <w:ilvl w:val="0"/>
          <w:numId w:val="15"/>
        </w:numPr>
        <w:spacing w:after="240" w:line="240" w:lineRule="auto"/>
        <w:contextualSpacing w:val="0"/>
        <w:jc w:val="both"/>
        <w:rPr>
          <w:szCs w:val="24"/>
        </w:rPr>
      </w:pPr>
      <w:r>
        <w:rPr>
          <w:szCs w:val="24"/>
        </w:rPr>
        <w:t xml:space="preserve">On behalf </w:t>
      </w:r>
      <w:r w:rsidR="00CF2FB8">
        <w:rPr>
          <w:szCs w:val="24"/>
        </w:rPr>
        <w:t>of</w:t>
      </w:r>
      <w:r>
        <w:rPr>
          <w:szCs w:val="24"/>
        </w:rPr>
        <w:t xml:space="preserve"> the </w:t>
      </w:r>
      <w:r w:rsidR="00B84EE5">
        <w:rPr>
          <w:szCs w:val="24"/>
        </w:rPr>
        <w:t>Claimant</w:t>
      </w:r>
      <w:r>
        <w:rPr>
          <w:szCs w:val="24"/>
        </w:rPr>
        <w:t xml:space="preserve">, Mr Kirby </w:t>
      </w:r>
      <w:r w:rsidR="00B84EE5">
        <w:rPr>
          <w:szCs w:val="24"/>
        </w:rPr>
        <w:t>submitted</w:t>
      </w:r>
      <w:r>
        <w:rPr>
          <w:szCs w:val="24"/>
        </w:rPr>
        <w:t xml:space="preserve"> that the </w:t>
      </w:r>
      <w:r w:rsidR="00B84EE5">
        <w:rPr>
          <w:szCs w:val="24"/>
        </w:rPr>
        <w:t>Claimant’s</w:t>
      </w:r>
      <w:r>
        <w:rPr>
          <w:szCs w:val="24"/>
        </w:rPr>
        <w:t xml:space="preserve"> application was in substance an application </w:t>
      </w:r>
      <w:r w:rsidR="00B84EE5">
        <w:rPr>
          <w:szCs w:val="24"/>
        </w:rPr>
        <w:t>for</w:t>
      </w:r>
      <w:r>
        <w:rPr>
          <w:szCs w:val="24"/>
        </w:rPr>
        <w:t xml:space="preserve"> relief from sanction</w:t>
      </w:r>
      <w:r w:rsidR="00B84EE5">
        <w:rPr>
          <w:szCs w:val="24"/>
        </w:rPr>
        <w:t>s</w:t>
      </w:r>
      <w:r>
        <w:rPr>
          <w:szCs w:val="24"/>
        </w:rPr>
        <w:t xml:space="preserve"> and that</w:t>
      </w:r>
      <w:r w:rsidR="001F3B80">
        <w:rPr>
          <w:szCs w:val="24"/>
        </w:rPr>
        <w:t>, applying the well-known three-stage test:</w:t>
      </w:r>
    </w:p>
    <w:p w14:paraId="1F95EF9B" w14:textId="1EB0C5D5" w:rsidR="000478CB" w:rsidRDefault="000478CB" w:rsidP="00AC6944">
      <w:pPr>
        <w:pStyle w:val="ListParagraph"/>
        <w:numPr>
          <w:ilvl w:val="1"/>
          <w:numId w:val="15"/>
        </w:numPr>
        <w:spacing w:after="240" w:line="240" w:lineRule="auto"/>
        <w:contextualSpacing w:val="0"/>
        <w:jc w:val="both"/>
        <w:rPr>
          <w:szCs w:val="24"/>
        </w:rPr>
      </w:pPr>
      <w:r>
        <w:rPr>
          <w:szCs w:val="24"/>
        </w:rPr>
        <w:t>While the delay from 27 February to 27 October 2020 was significant, t</w:t>
      </w:r>
      <w:r w:rsidR="001F3B80">
        <w:rPr>
          <w:szCs w:val="24"/>
        </w:rPr>
        <w:t xml:space="preserve">he breach of the CPR was </w:t>
      </w:r>
      <w:r w:rsidR="00B84EE5">
        <w:rPr>
          <w:szCs w:val="24"/>
        </w:rPr>
        <w:t>neither</w:t>
      </w:r>
      <w:r w:rsidR="001F3B80">
        <w:rPr>
          <w:szCs w:val="24"/>
        </w:rPr>
        <w:t xml:space="preserve"> serious </w:t>
      </w:r>
      <w:r>
        <w:rPr>
          <w:szCs w:val="24"/>
        </w:rPr>
        <w:t>n</w:t>
      </w:r>
      <w:r w:rsidR="001F3B80">
        <w:rPr>
          <w:szCs w:val="24"/>
        </w:rPr>
        <w:t xml:space="preserve">or significant, </w:t>
      </w:r>
      <w:r w:rsidR="00B84EE5">
        <w:rPr>
          <w:szCs w:val="24"/>
        </w:rPr>
        <w:t>since</w:t>
      </w:r>
      <w:r>
        <w:rPr>
          <w:szCs w:val="24"/>
        </w:rPr>
        <w:t>:</w:t>
      </w:r>
      <w:r w:rsidR="001F3B80">
        <w:rPr>
          <w:szCs w:val="24"/>
        </w:rPr>
        <w:t xml:space="preserve"> </w:t>
      </w:r>
    </w:p>
    <w:p w14:paraId="67DD667F" w14:textId="4F6348C8" w:rsidR="001F3B80" w:rsidRDefault="001F3B80" w:rsidP="00AC6944">
      <w:pPr>
        <w:pStyle w:val="ListParagraph"/>
        <w:numPr>
          <w:ilvl w:val="2"/>
          <w:numId w:val="15"/>
        </w:numPr>
        <w:spacing w:after="240" w:line="240" w:lineRule="auto"/>
        <w:contextualSpacing w:val="0"/>
        <w:jc w:val="both"/>
        <w:rPr>
          <w:szCs w:val="24"/>
        </w:rPr>
      </w:pPr>
      <w:r>
        <w:rPr>
          <w:szCs w:val="24"/>
        </w:rPr>
        <w:t xml:space="preserve">the issue which the </w:t>
      </w:r>
      <w:r w:rsidR="00B84EE5">
        <w:rPr>
          <w:szCs w:val="24"/>
        </w:rPr>
        <w:t>Claimant</w:t>
      </w:r>
      <w:r>
        <w:rPr>
          <w:szCs w:val="24"/>
        </w:rPr>
        <w:t xml:space="preserve"> sought to raise by the </w:t>
      </w:r>
      <w:r w:rsidR="00D37BA4">
        <w:rPr>
          <w:szCs w:val="24"/>
        </w:rPr>
        <w:t>r</w:t>
      </w:r>
      <w:r>
        <w:rPr>
          <w:szCs w:val="24"/>
        </w:rPr>
        <w:t xml:space="preserve">espondent’s </w:t>
      </w:r>
      <w:r w:rsidR="00D37BA4">
        <w:rPr>
          <w:szCs w:val="24"/>
        </w:rPr>
        <w:t>n</w:t>
      </w:r>
      <w:r>
        <w:rPr>
          <w:szCs w:val="24"/>
        </w:rPr>
        <w:t>otice had bee</w:t>
      </w:r>
      <w:r w:rsidR="00D37BA4">
        <w:rPr>
          <w:szCs w:val="24"/>
        </w:rPr>
        <w:t>n</w:t>
      </w:r>
      <w:r>
        <w:rPr>
          <w:szCs w:val="24"/>
        </w:rPr>
        <w:t xml:space="preserve"> fully argued before the </w:t>
      </w:r>
      <w:r w:rsidR="00D37BA4">
        <w:rPr>
          <w:szCs w:val="24"/>
        </w:rPr>
        <w:t>d</w:t>
      </w:r>
      <w:r w:rsidR="00E57DAB">
        <w:rPr>
          <w:szCs w:val="24"/>
        </w:rPr>
        <w:t>istrict</w:t>
      </w:r>
      <w:r>
        <w:rPr>
          <w:szCs w:val="24"/>
        </w:rPr>
        <w:t xml:space="preserve"> </w:t>
      </w:r>
      <w:r w:rsidR="00D37BA4">
        <w:rPr>
          <w:szCs w:val="24"/>
        </w:rPr>
        <w:t>j</w:t>
      </w:r>
      <w:r w:rsidR="00E57DAB">
        <w:rPr>
          <w:szCs w:val="24"/>
        </w:rPr>
        <w:t>udge</w:t>
      </w:r>
      <w:r w:rsidR="000478CB">
        <w:rPr>
          <w:szCs w:val="24"/>
        </w:rPr>
        <w:t>; and</w:t>
      </w:r>
    </w:p>
    <w:p w14:paraId="2C8D7FC8" w14:textId="799731AD" w:rsidR="000478CB" w:rsidRDefault="000478CB" w:rsidP="00AC6944">
      <w:pPr>
        <w:pStyle w:val="ListParagraph"/>
        <w:numPr>
          <w:ilvl w:val="2"/>
          <w:numId w:val="15"/>
        </w:numPr>
        <w:spacing w:after="240" w:line="240" w:lineRule="auto"/>
        <w:contextualSpacing w:val="0"/>
        <w:jc w:val="both"/>
        <w:rPr>
          <w:szCs w:val="24"/>
        </w:rPr>
      </w:pPr>
      <w:r>
        <w:rPr>
          <w:szCs w:val="24"/>
        </w:rPr>
        <w:t xml:space="preserve">ground 2 in the grounds </w:t>
      </w:r>
      <w:r w:rsidR="00CF2FB8">
        <w:rPr>
          <w:szCs w:val="24"/>
        </w:rPr>
        <w:t>of</w:t>
      </w:r>
      <w:r>
        <w:rPr>
          <w:szCs w:val="24"/>
        </w:rPr>
        <w:t xml:space="preserve"> appeal addressed at least part </w:t>
      </w:r>
      <w:r w:rsidR="00CF2FB8">
        <w:rPr>
          <w:szCs w:val="24"/>
        </w:rPr>
        <w:t>of</w:t>
      </w:r>
      <w:r>
        <w:rPr>
          <w:szCs w:val="24"/>
        </w:rPr>
        <w:t xml:space="preserve"> the issues which the </w:t>
      </w:r>
      <w:r w:rsidR="00B84EE5">
        <w:rPr>
          <w:szCs w:val="24"/>
        </w:rPr>
        <w:t>Claimant</w:t>
      </w:r>
      <w:r>
        <w:rPr>
          <w:szCs w:val="24"/>
        </w:rPr>
        <w:t xml:space="preserve"> sought to raise by the </w:t>
      </w:r>
      <w:r w:rsidR="00B84EE5">
        <w:rPr>
          <w:szCs w:val="24"/>
        </w:rPr>
        <w:t>r</w:t>
      </w:r>
      <w:r>
        <w:rPr>
          <w:szCs w:val="24"/>
        </w:rPr>
        <w:t xml:space="preserve">espondent’s </w:t>
      </w:r>
      <w:r w:rsidR="00B84EE5">
        <w:rPr>
          <w:szCs w:val="24"/>
        </w:rPr>
        <w:t>n</w:t>
      </w:r>
      <w:r>
        <w:rPr>
          <w:szCs w:val="24"/>
        </w:rPr>
        <w:t>otice.</w:t>
      </w:r>
    </w:p>
    <w:p w14:paraId="34821BC9" w14:textId="00E5B262" w:rsidR="001F3B80" w:rsidRDefault="001F3B80" w:rsidP="00AC6944">
      <w:pPr>
        <w:pStyle w:val="ListParagraph"/>
        <w:numPr>
          <w:ilvl w:val="1"/>
          <w:numId w:val="15"/>
        </w:numPr>
        <w:spacing w:after="240" w:line="240" w:lineRule="auto"/>
        <w:contextualSpacing w:val="0"/>
        <w:jc w:val="both"/>
        <w:rPr>
          <w:szCs w:val="24"/>
        </w:rPr>
      </w:pPr>
      <w:r>
        <w:rPr>
          <w:szCs w:val="24"/>
        </w:rPr>
        <w:t xml:space="preserve">The reason </w:t>
      </w:r>
      <w:r w:rsidR="00B84EE5">
        <w:rPr>
          <w:szCs w:val="24"/>
        </w:rPr>
        <w:t>for</w:t>
      </w:r>
      <w:r>
        <w:rPr>
          <w:szCs w:val="24"/>
        </w:rPr>
        <w:t xml:space="preserve"> the default was that the </w:t>
      </w:r>
      <w:r w:rsidR="00B84EE5">
        <w:rPr>
          <w:szCs w:val="24"/>
        </w:rPr>
        <w:t>Claimant</w:t>
      </w:r>
      <w:r>
        <w:rPr>
          <w:szCs w:val="24"/>
        </w:rPr>
        <w:t xml:space="preserve"> had bee</w:t>
      </w:r>
      <w:r w:rsidR="00D37BA4">
        <w:rPr>
          <w:szCs w:val="24"/>
        </w:rPr>
        <w:t>n</w:t>
      </w:r>
      <w:r>
        <w:rPr>
          <w:szCs w:val="24"/>
        </w:rPr>
        <w:t xml:space="preserve"> unable until judgment was handed down in </w:t>
      </w:r>
      <w:r w:rsidRPr="000478CB">
        <w:rPr>
          <w:i/>
          <w:iCs/>
          <w:szCs w:val="24"/>
        </w:rPr>
        <w:t xml:space="preserve">Belsner v Cam Legal </w:t>
      </w:r>
      <w:r w:rsidR="00B84EE5" w:rsidRPr="000478CB">
        <w:rPr>
          <w:i/>
          <w:iCs/>
          <w:szCs w:val="24"/>
        </w:rPr>
        <w:t>Services</w:t>
      </w:r>
      <w:r w:rsidRPr="000478CB">
        <w:rPr>
          <w:i/>
          <w:iCs/>
          <w:szCs w:val="24"/>
        </w:rPr>
        <w:t xml:space="preserve"> Ltd</w:t>
      </w:r>
      <w:r>
        <w:rPr>
          <w:szCs w:val="24"/>
        </w:rPr>
        <w:t xml:space="preserve"> to give proper </w:t>
      </w:r>
      <w:r w:rsidR="00B84EE5">
        <w:rPr>
          <w:szCs w:val="24"/>
        </w:rPr>
        <w:t>consideration</w:t>
      </w:r>
      <w:r>
        <w:rPr>
          <w:szCs w:val="24"/>
        </w:rPr>
        <w:t xml:space="preserve"> to</w:t>
      </w:r>
      <w:r w:rsidR="00D37BA4">
        <w:rPr>
          <w:szCs w:val="24"/>
        </w:rPr>
        <w:t xml:space="preserve"> </w:t>
      </w:r>
      <w:r>
        <w:rPr>
          <w:szCs w:val="24"/>
        </w:rPr>
        <w:t>th</w:t>
      </w:r>
      <w:r w:rsidR="00D37BA4">
        <w:rPr>
          <w:szCs w:val="24"/>
        </w:rPr>
        <w:t xml:space="preserve">e </w:t>
      </w:r>
      <w:r>
        <w:rPr>
          <w:szCs w:val="24"/>
        </w:rPr>
        <w:t xml:space="preserve">need for a </w:t>
      </w:r>
      <w:r w:rsidR="00D37BA4">
        <w:rPr>
          <w:szCs w:val="24"/>
        </w:rPr>
        <w:t>r</w:t>
      </w:r>
      <w:r>
        <w:rPr>
          <w:szCs w:val="24"/>
        </w:rPr>
        <w:t xml:space="preserve">espondent’s </w:t>
      </w:r>
      <w:r w:rsidR="00D37BA4">
        <w:rPr>
          <w:szCs w:val="24"/>
        </w:rPr>
        <w:t>n</w:t>
      </w:r>
      <w:r>
        <w:rPr>
          <w:szCs w:val="24"/>
        </w:rPr>
        <w:t xml:space="preserve">otice because, if I </w:t>
      </w:r>
      <w:r w:rsidR="00B84EE5">
        <w:rPr>
          <w:szCs w:val="24"/>
        </w:rPr>
        <w:t>had</w:t>
      </w:r>
      <w:r>
        <w:rPr>
          <w:szCs w:val="24"/>
        </w:rPr>
        <w:t xml:space="preserve"> decided against Ms Belsner on </w:t>
      </w:r>
      <w:r w:rsidR="00ED0402">
        <w:rPr>
          <w:szCs w:val="24"/>
        </w:rPr>
        <w:t>the issue</w:t>
      </w:r>
      <w:r w:rsidR="00D37BA4">
        <w:rPr>
          <w:szCs w:val="24"/>
        </w:rPr>
        <w:t xml:space="preserve"> as to the need for </w:t>
      </w:r>
      <w:r>
        <w:rPr>
          <w:szCs w:val="24"/>
        </w:rPr>
        <w:t>informed consent</w:t>
      </w:r>
      <w:r w:rsidR="00D37BA4">
        <w:rPr>
          <w:szCs w:val="24"/>
        </w:rPr>
        <w:t xml:space="preserve"> under CPR 46.9(2)</w:t>
      </w:r>
      <w:r>
        <w:rPr>
          <w:szCs w:val="24"/>
        </w:rPr>
        <w:t>, the question</w:t>
      </w:r>
      <w:r w:rsidR="00B84EE5">
        <w:rPr>
          <w:szCs w:val="24"/>
        </w:rPr>
        <w:t xml:space="preserve"> </w:t>
      </w:r>
      <w:r>
        <w:rPr>
          <w:szCs w:val="24"/>
        </w:rPr>
        <w:t xml:space="preserve">as to the </w:t>
      </w:r>
      <w:r w:rsidR="00B84EE5">
        <w:rPr>
          <w:szCs w:val="24"/>
        </w:rPr>
        <w:t>application</w:t>
      </w:r>
      <w:r>
        <w:rPr>
          <w:szCs w:val="24"/>
        </w:rPr>
        <w:t xml:space="preserve"> of </w:t>
      </w:r>
      <w:r w:rsidR="00D37BA4">
        <w:rPr>
          <w:szCs w:val="24"/>
        </w:rPr>
        <w:t>sub</w:t>
      </w:r>
      <w:r>
        <w:rPr>
          <w:szCs w:val="24"/>
        </w:rPr>
        <w:t xml:space="preserve">section 74(3) of the Solicitors Act 1974 would </w:t>
      </w:r>
      <w:r w:rsidR="00B84EE5">
        <w:rPr>
          <w:szCs w:val="24"/>
        </w:rPr>
        <w:t>have</w:t>
      </w:r>
      <w:r>
        <w:rPr>
          <w:szCs w:val="24"/>
        </w:rPr>
        <w:t xml:space="preserve"> become otiose.</w:t>
      </w:r>
      <w:r w:rsidR="000478CB">
        <w:rPr>
          <w:szCs w:val="24"/>
        </w:rPr>
        <w:t xml:space="preserve">  Mr Kirby quite properly </w:t>
      </w:r>
      <w:r w:rsidR="00B84EE5">
        <w:rPr>
          <w:szCs w:val="24"/>
        </w:rPr>
        <w:t>accepted</w:t>
      </w:r>
      <w:r w:rsidR="000478CB">
        <w:rPr>
          <w:szCs w:val="24"/>
        </w:rPr>
        <w:t xml:space="preserve"> that there had bee</w:t>
      </w:r>
      <w:r w:rsidR="00D37BA4">
        <w:rPr>
          <w:szCs w:val="24"/>
        </w:rPr>
        <w:t>n</w:t>
      </w:r>
      <w:r w:rsidR="000478CB">
        <w:rPr>
          <w:szCs w:val="24"/>
        </w:rPr>
        <w:t xml:space="preserve"> a deliberate choice </w:t>
      </w:r>
      <w:r w:rsidR="00B84EE5">
        <w:rPr>
          <w:szCs w:val="24"/>
        </w:rPr>
        <w:t>not</w:t>
      </w:r>
      <w:r w:rsidR="000478CB">
        <w:rPr>
          <w:szCs w:val="24"/>
        </w:rPr>
        <w:t xml:space="preserve"> </w:t>
      </w:r>
      <w:r w:rsidR="00D37BA4">
        <w:rPr>
          <w:szCs w:val="24"/>
        </w:rPr>
        <w:t>to</w:t>
      </w:r>
      <w:r w:rsidR="000478CB">
        <w:rPr>
          <w:szCs w:val="24"/>
        </w:rPr>
        <w:t xml:space="preserve"> </w:t>
      </w:r>
      <w:r w:rsidR="00B84EE5">
        <w:rPr>
          <w:szCs w:val="24"/>
        </w:rPr>
        <w:t>file</w:t>
      </w:r>
      <w:r w:rsidR="000478CB">
        <w:rPr>
          <w:szCs w:val="24"/>
        </w:rPr>
        <w:t xml:space="preserve"> a </w:t>
      </w:r>
      <w:r w:rsidR="00D37BA4">
        <w:rPr>
          <w:szCs w:val="24"/>
        </w:rPr>
        <w:t>r</w:t>
      </w:r>
      <w:r w:rsidR="000478CB">
        <w:rPr>
          <w:szCs w:val="24"/>
        </w:rPr>
        <w:t xml:space="preserve">espondent’s </w:t>
      </w:r>
      <w:r w:rsidR="00D37BA4">
        <w:rPr>
          <w:szCs w:val="24"/>
        </w:rPr>
        <w:t>n</w:t>
      </w:r>
      <w:r w:rsidR="000478CB">
        <w:rPr>
          <w:szCs w:val="24"/>
        </w:rPr>
        <w:t xml:space="preserve">otice in time.  </w:t>
      </w:r>
    </w:p>
    <w:p w14:paraId="32A831E4" w14:textId="2F6E302C" w:rsidR="001F3B80" w:rsidRDefault="00B84EE5" w:rsidP="00AC6944">
      <w:pPr>
        <w:pStyle w:val="ListParagraph"/>
        <w:numPr>
          <w:ilvl w:val="1"/>
          <w:numId w:val="15"/>
        </w:numPr>
        <w:spacing w:after="240" w:line="240" w:lineRule="auto"/>
        <w:contextualSpacing w:val="0"/>
        <w:jc w:val="both"/>
        <w:rPr>
          <w:szCs w:val="24"/>
        </w:rPr>
      </w:pPr>
      <w:r>
        <w:rPr>
          <w:szCs w:val="24"/>
        </w:rPr>
        <w:t>Having</w:t>
      </w:r>
      <w:r w:rsidR="001F3B80">
        <w:rPr>
          <w:szCs w:val="24"/>
        </w:rPr>
        <w:t xml:space="preserve"> regard to all the circumstances of the case, I ought to </w:t>
      </w:r>
      <w:r>
        <w:rPr>
          <w:szCs w:val="24"/>
        </w:rPr>
        <w:t>grant</w:t>
      </w:r>
      <w:r w:rsidR="001F3B80">
        <w:rPr>
          <w:szCs w:val="24"/>
        </w:rPr>
        <w:t xml:space="preserve"> the relief sought, particularly because:</w:t>
      </w:r>
    </w:p>
    <w:p w14:paraId="1FAD981D" w14:textId="3B2F94A8" w:rsidR="00777CC8" w:rsidRPr="00777CC8" w:rsidRDefault="001F3B80" w:rsidP="00AC6944">
      <w:pPr>
        <w:pStyle w:val="ListParagraph"/>
        <w:numPr>
          <w:ilvl w:val="2"/>
          <w:numId w:val="15"/>
        </w:numPr>
        <w:spacing w:after="240" w:line="240" w:lineRule="auto"/>
        <w:contextualSpacing w:val="0"/>
        <w:jc w:val="both"/>
        <w:rPr>
          <w:szCs w:val="24"/>
        </w:rPr>
      </w:pPr>
      <w:r w:rsidRPr="00777CC8">
        <w:rPr>
          <w:szCs w:val="24"/>
        </w:rPr>
        <w:t xml:space="preserve">The </w:t>
      </w:r>
      <w:r w:rsidR="00D37BA4">
        <w:rPr>
          <w:szCs w:val="24"/>
        </w:rPr>
        <w:t>r</w:t>
      </w:r>
      <w:r w:rsidRPr="00777CC8">
        <w:rPr>
          <w:szCs w:val="24"/>
        </w:rPr>
        <w:t xml:space="preserve">espondent’s </w:t>
      </w:r>
      <w:r w:rsidR="00D37BA4">
        <w:rPr>
          <w:szCs w:val="24"/>
        </w:rPr>
        <w:t>n</w:t>
      </w:r>
      <w:r w:rsidRPr="00777CC8">
        <w:rPr>
          <w:szCs w:val="24"/>
        </w:rPr>
        <w:t xml:space="preserve">otice did </w:t>
      </w:r>
      <w:r w:rsidR="00B84EE5" w:rsidRPr="00777CC8">
        <w:rPr>
          <w:szCs w:val="24"/>
        </w:rPr>
        <w:t>not</w:t>
      </w:r>
      <w:r w:rsidRPr="00777CC8">
        <w:rPr>
          <w:szCs w:val="24"/>
        </w:rPr>
        <w:t xml:space="preserve"> raise a new point which would ambush or surprise the </w:t>
      </w:r>
      <w:r w:rsidR="00B84EE5" w:rsidRPr="00777CC8">
        <w:rPr>
          <w:szCs w:val="24"/>
        </w:rPr>
        <w:t>Defendant</w:t>
      </w:r>
      <w:r w:rsidRPr="00777CC8">
        <w:rPr>
          <w:szCs w:val="24"/>
        </w:rPr>
        <w:t>.</w:t>
      </w:r>
      <w:r w:rsidR="00AD5FC7" w:rsidRPr="00777CC8">
        <w:rPr>
          <w:szCs w:val="24"/>
        </w:rPr>
        <w:t xml:space="preserve">  It had bee</w:t>
      </w:r>
      <w:r w:rsidR="00D37BA4">
        <w:rPr>
          <w:szCs w:val="24"/>
        </w:rPr>
        <w:t>n</w:t>
      </w:r>
      <w:r w:rsidR="00AD5FC7" w:rsidRPr="00777CC8">
        <w:rPr>
          <w:szCs w:val="24"/>
        </w:rPr>
        <w:t xml:space="preserve"> fully argued before the </w:t>
      </w:r>
      <w:r w:rsidR="00D37BA4">
        <w:rPr>
          <w:szCs w:val="24"/>
        </w:rPr>
        <w:t>d</w:t>
      </w:r>
      <w:r w:rsidR="00E57DAB">
        <w:rPr>
          <w:szCs w:val="24"/>
        </w:rPr>
        <w:t>istrict</w:t>
      </w:r>
      <w:r w:rsidR="00AD5FC7" w:rsidRPr="00777CC8">
        <w:rPr>
          <w:szCs w:val="24"/>
        </w:rPr>
        <w:t xml:space="preserve"> </w:t>
      </w:r>
      <w:r w:rsidR="00D37BA4">
        <w:rPr>
          <w:szCs w:val="24"/>
        </w:rPr>
        <w:t>j</w:t>
      </w:r>
      <w:r w:rsidR="00E57DAB">
        <w:rPr>
          <w:szCs w:val="24"/>
        </w:rPr>
        <w:t>udge</w:t>
      </w:r>
      <w:r w:rsidR="00AD5FC7" w:rsidRPr="00777CC8">
        <w:rPr>
          <w:szCs w:val="24"/>
        </w:rPr>
        <w:t xml:space="preserve">.  </w:t>
      </w:r>
      <w:r w:rsidR="00777CC8" w:rsidRPr="00777CC8">
        <w:rPr>
          <w:szCs w:val="24"/>
        </w:rPr>
        <w:t>The</w:t>
      </w:r>
      <w:r w:rsidR="00777CC8">
        <w:rPr>
          <w:szCs w:val="24"/>
        </w:rPr>
        <w:t xml:space="preserve"> construction issue</w:t>
      </w:r>
      <w:r w:rsidR="00777CC8" w:rsidRPr="00777CC8">
        <w:rPr>
          <w:szCs w:val="24"/>
        </w:rPr>
        <w:t xml:space="preserve"> could be dealt with at the hearing of the </w:t>
      </w:r>
      <w:r w:rsidR="00B84EE5" w:rsidRPr="00777CC8">
        <w:rPr>
          <w:szCs w:val="24"/>
        </w:rPr>
        <w:t>Defendant’s</w:t>
      </w:r>
      <w:r w:rsidR="00777CC8" w:rsidRPr="00777CC8">
        <w:rPr>
          <w:szCs w:val="24"/>
        </w:rPr>
        <w:t xml:space="preserve"> appeal. </w:t>
      </w:r>
      <w:r w:rsidR="00777CC8">
        <w:rPr>
          <w:szCs w:val="24"/>
        </w:rPr>
        <w:t xml:space="preserve"> The question </w:t>
      </w:r>
      <w:r w:rsidR="00B84EE5">
        <w:rPr>
          <w:szCs w:val="24"/>
        </w:rPr>
        <w:t>whether</w:t>
      </w:r>
      <w:r w:rsidR="00777CC8">
        <w:rPr>
          <w:szCs w:val="24"/>
        </w:rPr>
        <w:t xml:space="preserve"> the </w:t>
      </w:r>
      <w:r w:rsidR="00B84EE5">
        <w:rPr>
          <w:szCs w:val="24"/>
        </w:rPr>
        <w:t>Claimant</w:t>
      </w:r>
      <w:r w:rsidR="00777CC8">
        <w:rPr>
          <w:szCs w:val="24"/>
        </w:rPr>
        <w:t xml:space="preserve"> gave </w:t>
      </w:r>
      <w:r w:rsidR="00B84EE5">
        <w:rPr>
          <w:szCs w:val="24"/>
        </w:rPr>
        <w:t>informed</w:t>
      </w:r>
      <w:r w:rsidR="00777CC8">
        <w:rPr>
          <w:szCs w:val="24"/>
        </w:rPr>
        <w:t xml:space="preserve"> consent for the </w:t>
      </w:r>
      <w:r w:rsidR="00B84EE5">
        <w:rPr>
          <w:szCs w:val="24"/>
        </w:rPr>
        <w:t>purposes</w:t>
      </w:r>
      <w:r w:rsidR="00777CC8">
        <w:rPr>
          <w:szCs w:val="24"/>
        </w:rPr>
        <w:t xml:space="preserve"> </w:t>
      </w:r>
      <w:r w:rsidR="00CF2FB8">
        <w:rPr>
          <w:szCs w:val="24"/>
        </w:rPr>
        <w:t>of</w:t>
      </w:r>
      <w:r w:rsidR="00777CC8">
        <w:rPr>
          <w:szCs w:val="24"/>
        </w:rPr>
        <w:t xml:space="preserve"> CPR 46.9(2) had bee</w:t>
      </w:r>
      <w:r w:rsidR="00D37BA4">
        <w:rPr>
          <w:szCs w:val="24"/>
        </w:rPr>
        <w:t>n</w:t>
      </w:r>
      <w:r w:rsidR="00777CC8">
        <w:rPr>
          <w:szCs w:val="24"/>
        </w:rPr>
        <w:t xml:space="preserve"> raised by the Defendant itself in </w:t>
      </w:r>
      <w:r w:rsidR="00B84EE5">
        <w:rPr>
          <w:szCs w:val="24"/>
        </w:rPr>
        <w:t xml:space="preserve">ground </w:t>
      </w:r>
      <w:r w:rsidR="00777CC8">
        <w:rPr>
          <w:szCs w:val="24"/>
        </w:rPr>
        <w:t xml:space="preserve">2 of the grounds </w:t>
      </w:r>
      <w:r w:rsidR="00CF2FB8">
        <w:rPr>
          <w:szCs w:val="24"/>
        </w:rPr>
        <w:t>of</w:t>
      </w:r>
      <w:r w:rsidR="00777CC8">
        <w:rPr>
          <w:szCs w:val="24"/>
        </w:rPr>
        <w:t xml:space="preserve"> appeal.</w:t>
      </w:r>
    </w:p>
    <w:p w14:paraId="3F5483F6" w14:textId="2305AD3A" w:rsidR="001F3B80" w:rsidRDefault="001F3B80" w:rsidP="00AC6944">
      <w:pPr>
        <w:pStyle w:val="ListParagraph"/>
        <w:numPr>
          <w:ilvl w:val="2"/>
          <w:numId w:val="15"/>
        </w:numPr>
        <w:spacing w:after="240" w:line="240" w:lineRule="auto"/>
        <w:contextualSpacing w:val="0"/>
        <w:jc w:val="both"/>
        <w:rPr>
          <w:szCs w:val="24"/>
        </w:rPr>
      </w:pPr>
      <w:r>
        <w:rPr>
          <w:szCs w:val="24"/>
        </w:rPr>
        <w:t>There was likely to b</w:t>
      </w:r>
      <w:r w:rsidR="00D37BA4">
        <w:rPr>
          <w:szCs w:val="24"/>
        </w:rPr>
        <w:t>e</w:t>
      </w:r>
      <w:r>
        <w:rPr>
          <w:szCs w:val="24"/>
        </w:rPr>
        <w:t xml:space="preserve"> no rea</w:t>
      </w:r>
      <w:r w:rsidR="00A86F83">
        <w:rPr>
          <w:szCs w:val="24"/>
        </w:rPr>
        <w:t>l</w:t>
      </w:r>
      <w:r>
        <w:rPr>
          <w:szCs w:val="24"/>
        </w:rPr>
        <w:t xml:space="preserve"> prejudice to the Defendant.</w:t>
      </w:r>
    </w:p>
    <w:p w14:paraId="5F55372B" w14:textId="18E653B2" w:rsidR="001F3B80" w:rsidRDefault="001F3B80" w:rsidP="00AC6944">
      <w:pPr>
        <w:pStyle w:val="ListParagraph"/>
        <w:numPr>
          <w:ilvl w:val="2"/>
          <w:numId w:val="15"/>
        </w:numPr>
        <w:spacing w:after="240" w:line="240" w:lineRule="auto"/>
        <w:contextualSpacing w:val="0"/>
        <w:jc w:val="both"/>
        <w:rPr>
          <w:szCs w:val="24"/>
        </w:rPr>
      </w:pPr>
      <w:r>
        <w:rPr>
          <w:szCs w:val="24"/>
        </w:rPr>
        <w:t xml:space="preserve">The point was an important one to the profession and needed to be dealt with at High </w:t>
      </w:r>
      <w:r w:rsidR="00AD5FC7">
        <w:rPr>
          <w:szCs w:val="24"/>
        </w:rPr>
        <w:t>C</w:t>
      </w:r>
      <w:r>
        <w:rPr>
          <w:szCs w:val="24"/>
        </w:rPr>
        <w:t>ourt level.</w:t>
      </w:r>
    </w:p>
    <w:p w14:paraId="08A56236" w14:textId="64B8B554" w:rsidR="00777CC8" w:rsidRDefault="00777CC8" w:rsidP="00AC6944">
      <w:pPr>
        <w:pStyle w:val="ListParagraph"/>
        <w:numPr>
          <w:ilvl w:val="0"/>
          <w:numId w:val="15"/>
        </w:numPr>
        <w:spacing w:after="240" w:line="240" w:lineRule="auto"/>
        <w:contextualSpacing w:val="0"/>
        <w:jc w:val="both"/>
        <w:rPr>
          <w:szCs w:val="24"/>
        </w:rPr>
      </w:pPr>
      <w:r>
        <w:rPr>
          <w:szCs w:val="24"/>
        </w:rPr>
        <w:t>There was no evidence before me as to whether the construction issue had or had not bee</w:t>
      </w:r>
      <w:r w:rsidR="00D37BA4">
        <w:rPr>
          <w:szCs w:val="24"/>
        </w:rPr>
        <w:t>n</w:t>
      </w:r>
      <w:r>
        <w:rPr>
          <w:szCs w:val="24"/>
        </w:rPr>
        <w:t xml:space="preserve"> raised in other similar appeals.  Mr Marven’s recollection was that it had and Mr Kirby’s was that it had not.   </w:t>
      </w:r>
    </w:p>
    <w:p w14:paraId="2F528B39" w14:textId="4A37E6C0" w:rsidR="00493A40" w:rsidRDefault="00493A40" w:rsidP="00AC6944">
      <w:pPr>
        <w:pStyle w:val="ListParagraph"/>
        <w:numPr>
          <w:ilvl w:val="0"/>
          <w:numId w:val="15"/>
        </w:numPr>
        <w:spacing w:after="240" w:line="240" w:lineRule="auto"/>
        <w:contextualSpacing w:val="0"/>
        <w:jc w:val="both"/>
        <w:rPr>
          <w:szCs w:val="24"/>
        </w:rPr>
      </w:pPr>
      <w:r>
        <w:rPr>
          <w:szCs w:val="24"/>
        </w:rPr>
        <w:t xml:space="preserve">For the </w:t>
      </w:r>
      <w:r w:rsidR="00B84EE5">
        <w:rPr>
          <w:szCs w:val="24"/>
        </w:rPr>
        <w:t>Defendant</w:t>
      </w:r>
      <w:r>
        <w:rPr>
          <w:szCs w:val="24"/>
        </w:rPr>
        <w:t>, Mr Marven submitted</w:t>
      </w:r>
      <w:r w:rsidR="00B675C2">
        <w:rPr>
          <w:szCs w:val="24"/>
        </w:rPr>
        <w:t>, in particular,</w:t>
      </w:r>
      <w:r>
        <w:rPr>
          <w:szCs w:val="24"/>
        </w:rPr>
        <w:t xml:space="preserve"> that:</w:t>
      </w:r>
    </w:p>
    <w:p w14:paraId="2A047C24" w14:textId="77777777" w:rsidR="009A01DD" w:rsidRDefault="009A01DD" w:rsidP="00AC6944">
      <w:pPr>
        <w:pStyle w:val="ListParagraph"/>
        <w:numPr>
          <w:ilvl w:val="1"/>
          <w:numId w:val="15"/>
        </w:numPr>
        <w:spacing w:after="240" w:line="240" w:lineRule="auto"/>
        <w:contextualSpacing w:val="0"/>
        <w:jc w:val="both"/>
        <w:rPr>
          <w:szCs w:val="24"/>
        </w:rPr>
      </w:pPr>
      <w:r>
        <w:rPr>
          <w:szCs w:val="24"/>
        </w:rPr>
        <w:t>The breach of the CPR was both serious and significant.</w:t>
      </w:r>
    </w:p>
    <w:p w14:paraId="452EF47A" w14:textId="77777777" w:rsidR="009A01DD" w:rsidRDefault="009A01DD" w:rsidP="00AC6944">
      <w:pPr>
        <w:pStyle w:val="ListParagraph"/>
        <w:numPr>
          <w:ilvl w:val="1"/>
          <w:numId w:val="15"/>
        </w:numPr>
        <w:spacing w:after="240" w:line="240" w:lineRule="auto"/>
        <w:contextualSpacing w:val="0"/>
        <w:jc w:val="both"/>
        <w:rPr>
          <w:szCs w:val="24"/>
        </w:rPr>
      </w:pPr>
      <w:r>
        <w:rPr>
          <w:szCs w:val="24"/>
        </w:rPr>
        <w:t>There was no good reason for it.</w:t>
      </w:r>
    </w:p>
    <w:p w14:paraId="61E529EF" w14:textId="2E4BAB93" w:rsidR="00493A40" w:rsidRPr="009A01DD" w:rsidRDefault="00493A40" w:rsidP="00AC6944">
      <w:pPr>
        <w:pStyle w:val="ListParagraph"/>
        <w:numPr>
          <w:ilvl w:val="1"/>
          <w:numId w:val="15"/>
        </w:numPr>
        <w:spacing w:after="240" w:line="240" w:lineRule="auto"/>
        <w:contextualSpacing w:val="0"/>
        <w:jc w:val="both"/>
        <w:rPr>
          <w:szCs w:val="24"/>
        </w:rPr>
      </w:pPr>
      <w:r w:rsidRPr="009A01DD">
        <w:rPr>
          <w:szCs w:val="24"/>
        </w:rPr>
        <w:t xml:space="preserve">He was not ready to deal with the </w:t>
      </w:r>
      <w:r w:rsidR="009A01DD" w:rsidRPr="009A01DD">
        <w:rPr>
          <w:szCs w:val="24"/>
        </w:rPr>
        <w:t>construction issue</w:t>
      </w:r>
      <w:r w:rsidR="009A01DD">
        <w:rPr>
          <w:szCs w:val="24"/>
        </w:rPr>
        <w:t xml:space="preserve"> at the </w:t>
      </w:r>
      <w:r w:rsidR="00B84EE5">
        <w:rPr>
          <w:szCs w:val="24"/>
        </w:rPr>
        <w:t>hearing</w:t>
      </w:r>
      <w:r w:rsidR="009A01DD" w:rsidRPr="009A01DD">
        <w:rPr>
          <w:szCs w:val="24"/>
        </w:rPr>
        <w:t>.  Although i</w:t>
      </w:r>
      <w:r w:rsidR="009A01DD">
        <w:rPr>
          <w:szCs w:val="24"/>
        </w:rPr>
        <w:t>t</w:t>
      </w:r>
      <w:r w:rsidR="009A01DD" w:rsidRPr="009A01DD">
        <w:rPr>
          <w:szCs w:val="24"/>
        </w:rPr>
        <w:t xml:space="preserve"> </w:t>
      </w:r>
      <w:r w:rsidR="00B84EE5" w:rsidRPr="009A01DD">
        <w:rPr>
          <w:szCs w:val="24"/>
        </w:rPr>
        <w:t>had</w:t>
      </w:r>
      <w:r w:rsidR="009A01DD" w:rsidRPr="009A01DD">
        <w:rPr>
          <w:szCs w:val="24"/>
        </w:rPr>
        <w:t xml:space="preserve"> been argued below, </w:t>
      </w:r>
      <w:r w:rsidR="009A01DD">
        <w:rPr>
          <w:szCs w:val="24"/>
        </w:rPr>
        <w:t>t</w:t>
      </w:r>
      <w:r w:rsidRPr="009A01DD">
        <w:rPr>
          <w:szCs w:val="24"/>
        </w:rPr>
        <w:t xml:space="preserve">he </w:t>
      </w:r>
      <w:r w:rsidR="00B84EE5" w:rsidRPr="009A01DD">
        <w:rPr>
          <w:szCs w:val="24"/>
        </w:rPr>
        <w:t>Claimant</w:t>
      </w:r>
      <w:r w:rsidRPr="009A01DD">
        <w:rPr>
          <w:szCs w:val="24"/>
        </w:rPr>
        <w:t xml:space="preserve"> had </w:t>
      </w:r>
      <w:r w:rsidR="00B84EE5" w:rsidRPr="009A01DD">
        <w:rPr>
          <w:szCs w:val="24"/>
        </w:rPr>
        <w:t>advanced</w:t>
      </w:r>
      <w:r w:rsidRPr="009A01DD">
        <w:rPr>
          <w:szCs w:val="24"/>
        </w:rPr>
        <w:t xml:space="preserve"> on appeal </w:t>
      </w:r>
      <w:r w:rsidR="00B84EE5" w:rsidRPr="009A01DD">
        <w:rPr>
          <w:szCs w:val="24"/>
        </w:rPr>
        <w:t>arguments</w:t>
      </w:r>
      <w:r w:rsidRPr="009A01DD">
        <w:rPr>
          <w:szCs w:val="24"/>
        </w:rPr>
        <w:t xml:space="preserve"> which </w:t>
      </w:r>
      <w:r w:rsidRPr="009A01DD">
        <w:rPr>
          <w:szCs w:val="24"/>
        </w:rPr>
        <w:lastRenderedPageBreak/>
        <w:t xml:space="preserve">had </w:t>
      </w:r>
      <w:r w:rsidR="00B84EE5" w:rsidRPr="009A01DD">
        <w:rPr>
          <w:szCs w:val="24"/>
        </w:rPr>
        <w:t>not</w:t>
      </w:r>
      <w:r w:rsidRPr="009A01DD">
        <w:rPr>
          <w:szCs w:val="24"/>
        </w:rPr>
        <w:t xml:space="preserve"> been advanced before the </w:t>
      </w:r>
      <w:r w:rsidR="009E6131">
        <w:rPr>
          <w:szCs w:val="24"/>
        </w:rPr>
        <w:t>d</w:t>
      </w:r>
      <w:r w:rsidR="00E57DAB">
        <w:rPr>
          <w:szCs w:val="24"/>
        </w:rPr>
        <w:t>istrict</w:t>
      </w:r>
      <w:r w:rsidRPr="009A01DD">
        <w:rPr>
          <w:szCs w:val="24"/>
        </w:rPr>
        <w:t xml:space="preserve"> </w:t>
      </w:r>
      <w:r w:rsidR="009E6131">
        <w:rPr>
          <w:szCs w:val="24"/>
        </w:rPr>
        <w:t>j</w:t>
      </w:r>
      <w:r w:rsidR="00E57DAB">
        <w:rPr>
          <w:szCs w:val="24"/>
        </w:rPr>
        <w:t>udge</w:t>
      </w:r>
      <w:r w:rsidR="00D37BA4">
        <w:rPr>
          <w:szCs w:val="24"/>
        </w:rPr>
        <w:t xml:space="preserve">, namely the arguments </w:t>
      </w:r>
      <w:r w:rsidR="00D37BA4" w:rsidRPr="009A01DD">
        <w:rPr>
          <w:szCs w:val="24"/>
        </w:rPr>
        <w:t>set out in paragraphs 47 to 57 of the Claimant’s skeleton argument</w:t>
      </w:r>
      <w:r w:rsidR="00D37BA4">
        <w:rPr>
          <w:szCs w:val="24"/>
        </w:rPr>
        <w:t xml:space="preserve">, which </w:t>
      </w:r>
      <w:r w:rsidR="00D37BA4" w:rsidRPr="009A01DD">
        <w:rPr>
          <w:szCs w:val="24"/>
        </w:rPr>
        <w:t>advocated</w:t>
      </w:r>
      <w:r w:rsidR="00D37BA4">
        <w:rPr>
          <w:szCs w:val="24"/>
        </w:rPr>
        <w:t>, by reference to two authorities,</w:t>
      </w:r>
      <w:r w:rsidR="00D37BA4" w:rsidRPr="009A01DD">
        <w:rPr>
          <w:szCs w:val="24"/>
        </w:rPr>
        <w:t xml:space="preserve"> an “updating construction” of </w:t>
      </w:r>
      <w:r w:rsidR="00D37BA4">
        <w:rPr>
          <w:szCs w:val="24"/>
        </w:rPr>
        <w:t>sub</w:t>
      </w:r>
      <w:r w:rsidR="00D37BA4" w:rsidRPr="009A01DD">
        <w:rPr>
          <w:szCs w:val="24"/>
        </w:rPr>
        <w:t>section 74(3) of the Solicitors Act 1974</w:t>
      </w:r>
      <w:r w:rsidR="00D37BA4">
        <w:rPr>
          <w:szCs w:val="24"/>
        </w:rPr>
        <w:t>.</w:t>
      </w:r>
    </w:p>
    <w:p w14:paraId="70D93995" w14:textId="587F36D3" w:rsidR="00352B94" w:rsidRDefault="00B675C2" w:rsidP="00AC6944">
      <w:pPr>
        <w:pStyle w:val="ListParagraph"/>
        <w:numPr>
          <w:ilvl w:val="0"/>
          <w:numId w:val="15"/>
        </w:numPr>
        <w:spacing w:after="240" w:line="240" w:lineRule="auto"/>
        <w:contextualSpacing w:val="0"/>
        <w:jc w:val="both"/>
        <w:rPr>
          <w:szCs w:val="24"/>
        </w:rPr>
      </w:pPr>
      <w:r w:rsidRPr="00B675C2">
        <w:rPr>
          <w:szCs w:val="24"/>
        </w:rPr>
        <w:t>In my judgment</w:t>
      </w:r>
      <w:r w:rsidR="00352B94">
        <w:rPr>
          <w:szCs w:val="24"/>
        </w:rPr>
        <w:t>. t</w:t>
      </w:r>
      <w:r w:rsidRPr="00352B94">
        <w:rPr>
          <w:szCs w:val="24"/>
        </w:rPr>
        <w:t xml:space="preserve">he Claimant’s breach </w:t>
      </w:r>
      <w:r w:rsidR="00CF2FB8" w:rsidRPr="00352B94">
        <w:rPr>
          <w:szCs w:val="24"/>
        </w:rPr>
        <w:t>of</w:t>
      </w:r>
      <w:r w:rsidRPr="00352B94">
        <w:rPr>
          <w:szCs w:val="24"/>
        </w:rPr>
        <w:t xml:space="preserve"> the CPR was both serious and significant.  It is a serious and significant matter that points which could have been taken in February 2020 were not raised until 8 months later</w:t>
      </w:r>
      <w:r w:rsidR="00352B94">
        <w:rPr>
          <w:szCs w:val="24"/>
        </w:rPr>
        <w:t>, shortly before the hearing of the appeal</w:t>
      </w:r>
      <w:r w:rsidR="00D37BA4">
        <w:rPr>
          <w:szCs w:val="24"/>
        </w:rPr>
        <w:t xml:space="preserve">, at a time when the Claimant’s own representatives were concerned that the Defendant would not have adequate time in which to respond.  </w:t>
      </w:r>
    </w:p>
    <w:p w14:paraId="25DA42C2" w14:textId="0BF590C1" w:rsidR="00B675C2" w:rsidRPr="0003084C" w:rsidRDefault="00352B94" w:rsidP="00AC6944">
      <w:pPr>
        <w:pStyle w:val="ListParagraph"/>
        <w:numPr>
          <w:ilvl w:val="0"/>
          <w:numId w:val="15"/>
        </w:numPr>
        <w:spacing w:after="240" w:line="240" w:lineRule="auto"/>
        <w:contextualSpacing w:val="0"/>
        <w:jc w:val="both"/>
        <w:rPr>
          <w:szCs w:val="24"/>
        </w:rPr>
      </w:pPr>
      <w:r w:rsidRPr="00352B94">
        <w:rPr>
          <w:szCs w:val="24"/>
        </w:rPr>
        <w:t>Moreover, t</w:t>
      </w:r>
      <w:r w:rsidR="00B675C2" w:rsidRPr="00352B94">
        <w:rPr>
          <w:szCs w:val="24"/>
        </w:rPr>
        <w:t xml:space="preserve">here </w:t>
      </w:r>
      <w:r w:rsidRPr="00352B94">
        <w:rPr>
          <w:szCs w:val="24"/>
        </w:rPr>
        <w:t>wa</w:t>
      </w:r>
      <w:r w:rsidR="00B675C2" w:rsidRPr="00352B94">
        <w:rPr>
          <w:szCs w:val="24"/>
        </w:rPr>
        <w:t xml:space="preserve">s no good reason for </w:t>
      </w:r>
      <w:r w:rsidR="00D37BA4">
        <w:rPr>
          <w:szCs w:val="24"/>
        </w:rPr>
        <w:t xml:space="preserve">the </w:t>
      </w:r>
      <w:r w:rsidR="00B675C2" w:rsidRPr="00352B94">
        <w:rPr>
          <w:szCs w:val="24"/>
        </w:rPr>
        <w:t xml:space="preserve">Claimant’s failure to </w:t>
      </w:r>
      <w:r w:rsidRPr="00352B94">
        <w:rPr>
          <w:szCs w:val="24"/>
        </w:rPr>
        <w:t xml:space="preserve">file a </w:t>
      </w:r>
      <w:r w:rsidR="00D37BA4">
        <w:rPr>
          <w:szCs w:val="24"/>
        </w:rPr>
        <w:t>r</w:t>
      </w:r>
      <w:r w:rsidRPr="00352B94">
        <w:rPr>
          <w:szCs w:val="24"/>
        </w:rPr>
        <w:t xml:space="preserve">espondent’s </w:t>
      </w:r>
      <w:r w:rsidR="00D37BA4">
        <w:rPr>
          <w:szCs w:val="24"/>
        </w:rPr>
        <w:t>n</w:t>
      </w:r>
      <w:r w:rsidRPr="00352B94">
        <w:rPr>
          <w:szCs w:val="24"/>
        </w:rPr>
        <w:t xml:space="preserve">otice.  An obvious question for the Claimant and her lawyers to consider was whether to assert on this appeal that, if her alternative case on Point 2 (on which she had succeeded before the </w:t>
      </w:r>
      <w:r w:rsidR="00D37BA4">
        <w:rPr>
          <w:szCs w:val="24"/>
        </w:rPr>
        <w:t>d</w:t>
      </w:r>
      <w:r w:rsidR="00E57DAB">
        <w:rPr>
          <w:szCs w:val="24"/>
        </w:rPr>
        <w:t>istrict</w:t>
      </w:r>
      <w:r w:rsidRPr="00352B94">
        <w:rPr>
          <w:szCs w:val="24"/>
        </w:rPr>
        <w:t xml:space="preserve"> </w:t>
      </w:r>
      <w:r w:rsidR="00D37BA4">
        <w:rPr>
          <w:szCs w:val="24"/>
        </w:rPr>
        <w:t>j</w:t>
      </w:r>
      <w:r w:rsidR="00E57DAB">
        <w:rPr>
          <w:szCs w:val="24"/>
        </w:rPr>
        <w:t>udge</w:t>
      </w:r>
      <w:r w:rsidRPr="00352B94">
        <w:rPr>
          <w:szCs w:val="24"/>
        </w:rPr>
        <w:t xml:space="preserve">) was not upheld on appeal, her primary case on Point 2 should be upheld instead.  </w:t>
      </w:r>
      <w:r w:rsidRPr="0003084C">
        <w:rPr>
          <w:szCs w:val="24"/>
        </w:rPr>
        <w:t xml:space="preserve">It appears that that question </w:t>
      </w:r>
      <w:r w:rsidR="00A53559">
        <w:rPr>
          <w:szCs w:val="24"/>
        </w:rPr>
        <w:t>w</w:t>
      </w:r>
      <w:r w:rsidRPr="0003084C">
        <w:rPr>
          <w:szCs w:val="24"/>
        </w:rPr>
        <w:t xml:space="preserve">as considered </w:t>
      </w:r>
      <w:r w:rsidR="00B84EE5" w:rsidRPr="0003084C">
        <w:rPr>
          <w:szCs w:val="24"/>
        </w:rPr>
        <w:t>and</w:t>
      </w:r>
      <w:r w:rsidRPr="0003084C">
        <w:rPr>
          <w:szCs w:val="24"/>
        </w:rPr>
        <w:t xml:space="preserve"> a deliberate decision was taken not to file a </w:t>
      </w:r>
      <w:r w:rsidR="00A53559">
        <w:rPr>
          <w:szCs w:val="24"/>
        </w:rPr>
        <w:t>r</w:t>
      </w:r>
      <w:r w:rsidRPr="0003084C">
        <w:rPr>
          <w:szCs w:val="24"/>
        </w:rPr>
        <w:t xml:space="preserve">espondent’s </w:t>
      </w:r>
      <w:r w:rsidR="00A53559">
        <w:rPr>
          <w:szCs w:val="24"/>
        </w:rPr>
        <w:t>n</w:t>
      </w:r>
      <w:r w:rsidRPr="0003084C">
        <w:rPr>
          <w:szCs w:val="24"/>
        </w:rPr>
        <w:t xml:space="preserve">otice. </w:t>
      </w:r>
      <w:r w:rsidR="0003084C" w:rsidRPr="0003084C">
        <w:rPr>
          <w:szCs w:val="24"/>
        </w:rPr>
        <w:t xml:space="preserve"> </w:t>
      </w:r>
    </w:p>
    <w:p w14:paraId="26D9E720" w14:textId="2BBE2608" w:rsidR="0003084C" w:rsidRDefault="0003084C" w:rsidP="00AC6944">
      <w:pPr>
        <w:pStyle w:val="ListParagraph"/>
        <w:numPr>
          <w:ilvl w:val="0"/>
          <w:numId w:val="15"/>
        </w:numPr>
        <w:spacing w:after="240" w:line="240" w:lineRule="auto"/>
        <w:contextualSpacing w:val="0"/>
        <w:jc w:val="both"/>
        <w:rPr>
          <w:szCs w:val="24"/>
        </w:rPr>
      </w:pPr>
      <w:r>
        <w:rPr>
          <w:szCs w:val="24"/>
        </w:rPr>
        <w:t xml:space="preserve">The appeal in </w:t>
      </w:r>
      <w:r w:rsidRPr="0003084C">
        <w:rPr>
          <w:i/>
          <w:iCs/>
          <w:szCs w:val="24"/>
        </w:rPr>
        <w:t>Belsner v Cam Legal Services Ltd</w:t>
      </w:r>
      <w:r>
        <w:rPr>
          <w:szCs w:val="24"/>
        </w:rPr>
        <w:t xml:space="preserve"> was not a good reason for delaying the </w:t>
      </w:r>
      <w:r w:rsidR="00B84EE5">
        <w:rPr>
          <w:szCs w:val="24"/>
        </w:rPr>
        <w:t>filing</w:t>
      </w:r>
      <w:r>
        <w:rPr>
          <w:szCs w:val="24"/>
        </w:rPr>
        <w:t xml:space="preserve"> </w:t>
      </w:r>
      <w:r w:rsidR="00CF2FB8">
        <w:rPr>
          <w:szCs w:val="24"/>
        </w:rPr>
        <w:t>of</w:t>
      </w:r>
      <w:r>
        <w:rPr>
          <w:szCs w:val="24"/>
        </w:rPr>
        <w:t xml:space="preserve"> a </w:t>
      </w:r>
      <w:r w:rsidR="00A53559">
        <w:rPr>
          <w:szCs w:val="24"/>
        </w:rPr>
        <w:t>r</w:t>
      </w:r>
      <w:r>
        <w:rPr>
          <w:szCs w:val="24"/>
        </w:rPr>
        <w:t xml:space="preserve">espondent’s </w:t>
      </w:r>
      <w:r w:rsidR="00A53559">
        <w:rPr>
          <w:szCs w:val="24"/>
        </w:rPr>
        <w:t>n</w:t>
      </w:r>
      <w:r>
        <w:rPr>
          <w:szCs w:val="24"/>
        </w:rPr>
        <w:t xml:space="preserve">otice.  The purpose of a </w:t>
      </w:r>
      <w:r w:rsidR="00A53559">
        <w:rPr>
          <w:szCs w:val="24"/>
        </w:rPr>
        <w:t>r</w:t>
      </w:r>
      <w:r>
        <w:rPr>
          <w:szCs w:val="24"/>
        </w:rPr>
        <w:t xml:space="preserve">espondent’s </w:t>
      </w:r>
      <w:r w:rsidR="00A53559">
        <w:rPr>
          <w:szCs w:val="24"/>
        </w:rPr>
        <w:t>n</w:t>
      </w:r>
      <w:r>
        <w:rPr>
          <w:szCs w:val="24"/>
        </w:rPr>
        <w:t>otice is to identify the issues in the appeal.  That is important for the proper management of th</w:t>
      </w:r>
      <w:r w:rsidR="00A53559">
        <w:rPr>
          <w:szCs w:val="24"/>
        </w:rPr>
        <w:t>e</w:t>
      </w:r>
      <w:r>
        <w:rPr>
          <w:szCs w:val="24"/>
        </w:rPr>
        <w:t xml:space="preserve"> appeal, wheth</w:t>
      </w:r>
      <w:r w:rsidR="00B84EE5">
        <w:rPr>
          <w:szCs w:val="24"/>
        </w:rPr>
        <w:t>e</w:t>
      </w:r>
      <w:r>
        <w:rPr>
          <w:szCs w:val="24"/>
        </w:rPr>
        <w:t xml:space="preserve">r </w:t>
      </w:r>
      <w:r w:rsidR="00B84EE5">
        <w:rPr>
          <w:szCs w:val="24"/>
        </w:rPr>
        <w:t>o</w:t>
      </w:r>
      <w:r>
        <w:rPr>
          <w:szCs w:val="24"/>
        </w:rPr>
        <w:t>r n</w:t>
      </w:r>
      <w:r w:rsidR="00B84EE5">
        <w:rPr>
          <w:szCs w:val="24"/>
        </w:rPr>
        <w:t>ot</w:t>
      </w:r>
      <w:r>
        <w:rPr>
          <w:szCs w:val="24"/>
        </w:rPr>
        <w:t xml:space="preserve"> those issues are subsequently narrowed as a result of a decision in another case.  Moreover:</w:t>
      </w:r>
    </w:p>
    <w:p w14:paraId="07083DAB" w14:textId="108EAB9D" w:rsidR="0003084C" w:rsidRDefault="0003084C" w:rsidP="00AC6944">
      <w:pPr>
        <w:pStyle w:val="ListParagraph"/>
        <w:numPr>
          <w:ilvl w:val="1"/>
          <w:numId w:val="15"/>
        </w:numPr>
        <w:spacing w:after="240" w:line="240" w:lineRule="auto"/>
        <w:contextualSpacing w:val="0"/>
        <w:jc w:val="both"/>
        <w:rPr>
          <w:szCs w:val="24"/>
        </w:rPr>
      </w:pPr>
      <w:r>
        <w:rPr>
          <w:szCs w:val="24"/>
        </w:rPr>
        <w:t xml:space="preserve">The </w:t>
      </w:r>
      <w:r w:rsidR="009A01DD">
        <w:rPr>
          <w:szCs w:val="24"/>
        </w:rPr>
        <w:t xml:space="preserve">construction issue </w:t>
      </w:r>
      <w:r w:rsidR="007022FE">
        <w:rPr>
          <w:szCs w:val="24"/>
        </w:rPr>
        <w:t xml:space="preserve">did </w:t>
      </w:r>
      <w:r w:rsidR="00B84EE5">
        <w:rPr>
          <w:szCs w:val="24"/>
        </w:rPr>
        <w:t>not</w:t>
      </w:r>
      <w:r>
        <w:rPr>
          <w:szCs w:val="24"/>
        </w:rPr>
        <w:t xml:space="preserve"> arise in </w:t>
      </w:r>
      <w:bookmarkStart w:id="9" w:name="_Hlk72055660"/>
      <w:r w:rsidRPr="0003084C">
        <w:rPr>
          <w:i/>
          <w:iCs/>
          <w:szCs w:val="24"/>
        </w:rPr>
        <w:t>Belsner v Cam Legal Services Ltd</w:t>
      </w:r>
      <w:r>
        <w:rPr>
          <w:szCs w:val="24"/>
        </w:rPr>
        <w:t>.</w:t>
      </w:r>
      <w:bookmarkEnd w:id="9"/>
    </w:p>
    <w:p w14:paraId="6A5DB6F0" w14:textId="7C30502B" w:rsidR="0003084C" w:rsidRPr="0003084C" w:rsidRDefault="0003084C" w:rsidP="00AC6944">
      <w:pPr>
        <w:pStyle w:val="ListParagraph"/>
        <w:numPr>
          <w:ilvl w:val="1"/>
          <w:numId w:val="15"/>
        </w:numPr>
        <w:spacing w:after="240" w:line="240" w:lineRule="auto"/>
        <w:contextualSpacing w:val="0"/>
        <w:jc w:val="both"/>
        <w:rPr>
          <w:szCs w:val="24"/>
        </w:rPr>
      </w:pPr>
      <w:r w:rsidRPr="0003084C">
        <w:rPr>
          <w:i/>
          <w:iCs/>
          <w:szCs w:val="24"/>
        </w:rPr>
        <w:t>Belsner v Cam Legal Services Ltd</w:t>
      </w:r>
      <w:r w:rsidRPr="0003084C">
        <w:rPr>
          <w:szCs w:val="24"/>
        </w:rPr>
        <w:t xml:space="preserve"> was, as I said in my judgment, a test case.  </w:t>
      </w:r>
      <w:r w:rsidR="00D13A4F">
        <w:rPr>
          <w:szCs w:val="24"/>
        </w:rPr>
        <w:t xml:space="preserve">All parties will have appreciated the likelihood </w:t>
      </w:r>
      <w:r w:rsidRPr="0003084C">
        <w:rPr>
          <w:szCs w:val="24"/>
        </w:rPr>
        <w:t>that</w:t>
      </w:r>
      <w:r>
        <w:rPr>
          <w:szCs w:val="24"/>
        </w:rPr>
        <w:t>, w</w:t>
      </w:r>
      <w:r w:rsidRPr="0003084C">
        <w:rPr>
          <w:szCs w:val="24"/>
        </w:rPr>
        <w:t xml:space="preserve">hatever decision I reached </w:t>
      </w:r>
      <w:r w:rsidR="00D13A4F">
        <w:rPr>
          <w:szCs w:val="24"/>
        </w:rPr>
        <w:t>on the appeal, my judgment would itself be the subject of at least an application for permission to appeal to the Court of Appeal, with the result that my judgment would not necessarily be the final word on the issues raised in that appeal.</w:t>
      </w:r>
    </w:p>
    <w:p w14:paraId="2CFF1A0A" w14:textId="40C70CA9" w:rsidR="0003084C" w:rsidRDefault="00D13A4F" w:rsidP="00AC6944">
      <w:pPr>
        <w:pStyle w:val="ListParagraph"/>
        <w:numPr>
          <w:ilvl w:val="0"/>
          <w:numId w:val="15"/>
        </w:numPr>
        <w:spacing w:after="240" w:line="240" w:lineRule="auto"/>
        <w:contextualSpacing w:val="0"/>
        <w:jc w:val="both"/>
        <w:rPr>
          <w:szCs w:val="24"/>
        </w:rPr>
      </w:pPr>
      <w:r>
        <w:rPr>
          <w:szCs w:val="24"/>
        </w:rPr>
        <w:t>Against that background, I considered all of the circumstances of the case and concluded that it would not b</w:t>
      </w:r>
      <w:r w:rsidR="00A53559">
        <w:rPr>
          <w:szCs w:val="24"/>
        </w:rPr>
        <w:t>e</w:t>
      </w:r>
      <w:r>
        <w:rPr>
          <w:szCs w:val="24"/>
        </w:rPr>
        <w:t xml:space="preserve"> appropriate to grant the relief sought.  Th</w:t>
      </w:r>
      <w:r w:rsidR="009A01DD">
        <w:rPr>
          <w:szCs w:val="24"/>
        </w:rPr>
        <w:t>os</w:t>
      </w:r>
      <w:r>
        <w:rPr>
          <w:szCs w:val="24"/>
        </w:rPr>
        <w:t xml:space="preserve">e circumstances include the need to enforce compliance with the rules, the seriousness of the Claimant’s breach of the rules and the fact that a deliberate decision was taken not to file a </w:t>
      </w:r>
      <w:r w:rsidR="00A53559">
        <w:rPr>
          <w:szCs w:val="24"/>
        </w:rPr>
        <w:t>r</w:t>
      </w:r>
      <w:r>
        <w:rPr>
          <w:szCs w:val="24"/>
        </w:rPr>
        <w:t xml:space="preserve">espondent’s </w:t>
      </w:r>
      <w:r w:rsidR="00A53559">
        <w:rPr>
          <w:szCs w:val="24"/>
        </w:rPr>
        <w:t>n</w:t>
      </w:r>
      <w:r>
        <w:rPr>
          <w:szCs w:val="24"/>
        </w:rPr>
        <w:t>otice.</w:t>
      </w:r>
      <w:r w:rsidR="000B6A99">
        <w:rPr>
          <w:szCs w:val="24"/>
        </w:rPr>
        <w:t xml:space="preserve">  In my judgment, th</w:t>
      </w:r>
      <w:r w:rsidR="009E6131">
        <w:rPr>
          <w:szCs w:val="24"/>
        </w:rPr>
        <w:t>o</w:t>
      </w:r>
      <w:r w:rsidR="000B6A99">
        <w:rPr>
          <w:szCs w:val="24"/>
        </w:rPr>
        <w:t>se factors outweigh</w:t>
      </w:r>
      <w:r w:rsidR="007022FE">
        <w:rPr>
          <w:szCs w:val="24"/>
        </w:rPr>
        <w:t>ed</w:t>
      </w:r>
      <w:r w:rsidR="000B6A99">
        <w:rPr>
          <w:szCs w:val="24"/>
        </w:rPr>
        <w:t xml:space="preserve"> the factors relied on by the Claimant, as to which I make the following observations:</w:t>
      </w:r>
    </w:p>
    <w:p w14:paraId="08E00BBA" w14:textId="3843310D" w:rsidR="009A01DD" w:rsidRDefault="009A01DD" w:rsidP="00AC6944">
      <w:pPr>
        <w:pStyle w:val="ListParagraph"/>
        <w:numPr>
          <w:ilvl w:val="1"/>
          <w:numId w:val="15"/>
        </w:numPr>
        <w:spacing w:after="240" w:line="240" w:lineRule="auto"/>
        <w:contextualSpacing w:val="0"/>
        <w:jc w:val="both"/>
        <w:rPr>
          <w:szCs w:val="24"/>
        </w:rPr>
      </w:pPr>
      <w:r>
        <w:rPr>
          <w:szCs w:val="24"/>
        </w:rPr>
        <w:t xml:space="preserve">As to the scope </w:t>
      </w:r>
      <w:r w:rsidR="00CF2FB8">
        <w:rPr>
          <w:szCs w:val="24"/>
        </w:rPr>
        <w:t>of</w:t>
      </w:r>
      <w:r>
        <w:rPr>
          <w:szCs w:val="24"/>
        </w:rPr>
        <w:t xml:space="preserve"> the issues proposed to be raised by the respondent’s notice:</w:t>
      </w:r>
    </w:p>
    <w:p w14:paraId="21B95B05" w14:textId="24BCFCCC" w:rsidR="003C7B8B" w:rsidRDefault="009A01DD" w:rsidP="00AC6944">
      <w:pPr>
        <w:pStyle w:val="ListParagraph"/>
        <w:numPr>
          <w:ilvl w:val="2"/>
          <w:numId w:val="15"/>
        </w:numPr>
        <w:spacing w:after="240" w:line="240" w:lineRule="auto"/>
        <w:contextualSpacing w:val="0"/>
        <w:jc w:val="both"/>
        <w:rPr>
          <w:szCs w:val="24"/>
        </w:rPr>
      </w:pPr>
      <w:r>
        <w:rPr>
          <w:szCs w:val="24"/>
        </w:rPr>
        <w:t xml:space="preserve">The </w:t>
      </w:r>
      <w:r w:rsidR="00514C75">
        <w:rPr>
          <w:szCs w:val="24"/>
        </w:rPr>
        <w:t>principal</w:t>
      </w:r>
      <w:r>
        <w:rPr>
          <w:szCs w:val="24"/>
        </w:rPr>
        <w:t xml:space="preserve"> issue </w:t>
      </w:r>
      <w:r w:rsidR="00A53559">
        <w:rPr>
          <w:szCs w:val="24"/>
        </w:rPr>
        <w:t>to be argued before me would be</w:t>
      </w:r>
      <w:r>
        <w:rPr>
          <w:szCs w:val="24"/>
        </w:rPr>
        <w:t xml:space="preserve"> the construction issue</w:t>
      </w:r>
      <w:r w:rsidR="003C7B8B">
        <w:rPr>
          <w:szCs w:val="24"/>
        </w:rPr>
        <w:t>, since m</w:t>
      </w:r>
      <w:r>
        <w:rPr>
          <w:szCs w:val="24"/>
        </w:rPr>
        <w:t xml:space="preserve">y judgment in </w:t>
      </w:r>
      <w:r w:rsidRPr="009A01DD">
        <w:rPr>
          <w:i/>
          <w:iCs/>
          <w:szCs w:val="24"/>
        </w:rPr>
        <w:t>Belsner v Cam Legal Services Ltd</w:t>
      </w:r>
      <w:r>
        <w:rPr>
          <w:szCs w:val="24"/>
        </w:rPr>
        <w:t xml:space="preserve"> </w:t>
      </w:r>
      <w:r w:rsidR="003C7B8B">
        <w:rPr>
          <w:szCs w:val="24"/>
        </w:rPr>
        <w:t>both:</w:t>
      </w:r>
    </w:p>
    <w:p w14:paraId="1483ADF6" w14:textId="48E08AB7" w:rsidR="009A01DD" w:rsidRDefault="009A01DD" w:rsidP="00AC6944">
      <w:pPr>
        <w:pStyle w:val="ListParagraph"/>
        <w:numPr>
          <w:ilvl w:val="3"/>
          <w:numId w:val="15"/>
        </w:numPr>
        <w:spacing w:after="240" w:line="240" w:lineRule="auto"/>
        <w:contextualSpacing w:val="0"/>
        <w:jc w:val="both"/>
        <w:rPr>
          <w:szCs w:val="24"/>
        </w:rPr>
      </w:pPr>
      <w:r>
        <w:rPr>
          <w:szCs w:val="24"/>
        </w:rPr>
        <w:t xml:space="preserve">decided that, if </w:t>
      </w:r>
      <w:r w:rsidR="00A53559">
        <w:rPr>
          <w:szCs w:val="24"/>
        </w:rPr>
        <w:t>sub</w:t>
      </w:r>
      <w:r>
        <w:rPr>
          <w:szCs w:val="24"/>
        </w:rPr>
        <w:t xml:space="preserve">section 74(3) of the </w:t>
      </w:r>
      <w:r w:rsidR="003C7B8B">
        <w:rPr>
          <w:szCs w:val="24"/>
        </w:rPr>
        <w:t>Solicitors Act 1974 applied in the present</w:t>
      </w:r>
      <w:r w:rsidR="00A53559">
        <w:rPr>
          <w:szCs w:val="24"/>
        </w:rPr>
        <w:t xml:space="preserve"> case</w:t>
      </w:r>
      <w:r w:rsidR="003C7B8B">
        <w:rPr>
          <w:szCs w:val="24"/>
        </w:rPr>
        <w:t xml:space="preserve">, the </w:t>
      </w:r>
      <w:r w:rsidR="00514C75">
        <w:rPr>
          <w:szCs w:val="24"/>
        </w:rPr>
        <w:t>Defendant</w:t>
      </w:r>
      <w:r w:rsidR="003C7B8B">
        <w:rPr>
          <w:szCs w:val="24"/>
        </w:rPr>
        <w:t xml:space="preserve"> needed to establish informed consent in </w:t>
      </w:r>
      <w:r w:rsidR="00514C75">
        <w:rPr>
          <w:szCs w:val="24"/>
        </w:rPr>
        <w:t>order</w:t>
      </w:r>
      <w:r w:rsidR="003C7B8B">
        <w:rPr>
          <w:szCs w:val="24"/>
        </w:rPr>
        <w:t xml:space="preserve"> to rely on CPR 46.9(2) as disapplying </w:t>
      </w:r>
      <w:r w:rsidR="00A53559">
        <w:rPr>
          <w:szCs w:val="24"/>
        </w:rPr>
        <w:t>sub</w:t>
      </w:r>
      <w:r w:rsidR="003C7B8B">
        <w:rPr>
          <w:szCs w:val="24"/>
        </w:rPr>
        <w:t>section 74(3); and</w:t>
      </w:r>
    </w:p>
    <w:p w14:paraId="2569A08A" w14:textId="72898CDD" w:rsidR="003C7B8B" w:rsidRDefault="003C7B8B" w:rsidP="00AC6944">
      <w:pPr>
        <w:pStyle w:val="ListParagraph"/>
        <w:numPr>
          <w:ilvl w:val="3"/>
          <w:numId w:val="15"/>
        </w:numPr>
        <w:spacing w:after="240" w:line="240" w:lineRule="auto"/>
        <w:contextualSpacing w:val="0"/>
        <w:jc w:val="both"/>
        <w:rPr>
          <w:szCs w:val="24"/>
        </w:rPr>
      </w:pPr>
      <w:r>
        <w:rPr>
          <w:szCs w:val="24"/>
        </w:rPr>
        <w:t xml:space="preserve">provided assistance on the question </w:t>
      </w:r>
      <w:r w:rsidR="00514C75">
        <w:rPr>
          <w:szCs w:val="24"/>
        </w:rPr>
        <w:t>whether</w:t>
      </w:r>
      <w:r>
        <w:rPr>
          <w:szCs w:val="24"/>
        </w:rPr>
        <w:t xml:space="preserve"> the </w:t>
      </w:r>
      <w:r w:rsidR="00514C75">
        <w:rPr>
          <w:szCs w:val="24"/>
        </w:rPr>
        <w:t>Claimant</w:t>
      </w:r>
      <w:r>
        <w:rPr>
          <w:szCs w:val="24"/>
        </w:rPr>
        <w:t xml:space="preserve"> had </w:t>
      </w:r>
      <w:r w:rsidR="00A53559">
        <w:rPr>
          <w:szCs w:val="24"/>
        </w:rPr>
        <w:t>given</w:t>
      </w:r>
      <w:r>
        <w:rPr>
          <w:szCs w:val="24"/>
        </w:rPr>
        <w:t xml:space="preserve"> informed con</w:t>
      </w:r>
      <w:r w:rsidR="00514C75">
        <w:rPr>
          <w:szCs w:val="24"/>
        </w:rPr>
        <w:t>s</w:t>
      </w:r>
      <w:r>
        <w:rPr>
          <w:szCs w:val="24"/>
        </w:rPr>
        <w:t xml:space="preserve">ent for the purposes </w:t>
      </w:r>
      <w:r w:rsidR="00CF2FB8">
        <w:rPr>
          <w:szCs w:val="24"/>
        </w:rPr>
        <w:t>of</w:t>
      </w:r>
      <w:r>
        <w:rPr>
          <w:szCs w:val="24"/>
        </w:rPr>
        <w:t xml:space="preserve"> CPR 46.9(2)</w:t>
      </w:r>
      <w:r w:rsidR="009E6131">
        <w:rPr>
          <w:szCs w:val="24"/>
        </w:rPr>
        <w:t>.</w:t>
      </w:r>
    </w:p>
    <w:p w14:paraId="0ECAA7B8" w14:textId="5EE08230" w:rsidR="00D21C13" w:rsidRDefault="00D21C13" w:rsidP="00AC6944">
      <w:pPr>
        <w:pStyle w:val="ListParagraph"/>
        <w:numPr>
          <w:ilvl w:val="2"/>
          <w:numId w:val="15"/>
        </w:numPr>
        <w:spacing w:after="240" w:line="240" w:lineRule="auto"/>
        <w:contextualSpacing w:val="0"/>
        <w:jc w:val="both"/>
        <w:rPr>
          <w:szCs w:val="24"/>
        </w:rPr>
      </w:pPr>
      <w:r>
        <w:rPr>
          <w:szCs w:val="24"/>
        </w:rPr>
        <w:lastRenderedPageBreak/>
        <w:t xml:space="preserve">The </w:t>
      </w:r>
      <w:r w:rsidR="00514C75">
        <w:rPr>
          <w:szCs w:val="24"/>
        </w:rPr>
        <w:t>construction</w:t>
      </w:r>
      <w:r>
        <w:rPr>
          <w:szCs w:val="24"/>
        </w:rPr>
        <w:t xml:space="preserve"> issue did </w:t>
      </w:r>
      <w:r w:rsidR="00514C75">
        <w:rPr>
          <w:szCs w:val="24"/>
        </w:rPr>
        <w:t>not</w:t>
      </w:r>
      <w:r>
        <w:rPr>
          <w:szCs w:val="24"/>
        </w:rPr>
        <w:t xml:space="preserve"> form part </w:t>
      </w:r>
      <w:r w:rsidR="00CF2FB8">
        <w:rPr>
          <w:szCs w:val="24"/>
        </w:rPr>
        <w:t>of</w:t>
      </w:r>
      <w:r>
        <w:rPr>
          <w:szCs w:val="24"/>
        </w:rPr>
        <w:t xml:space="preserve"> ground 2 in the grounds </w:t>
      </w:r>
      <w:r w:rsidR="00CF2FB8">
        <w:rPr>
          <w:szCs w:val="24"/>
        </w:rPr>
        <w:t>of</w:t>
      </w:r>
      <w:r>
        <w:rPr>
          <w:szCs w:val="24"/>
        </w:rPr>
        <w:t xml:space="preserve"> appeal </w:t>
      </w:r>
      <w:r w:rsidR="00514C75">
        <w:rPr>
          <w:szCs w:val="24"/>
        </w:rPr>
        <w:t>and</w:t>
      </w:r>
      <w:r>
        <w:rPr>
          <w:szCs w:val="24"/>
        </w:rPr>
        <w:t xml:space="preserve">, in any </w:t>
      </w:r>
      <w:r w:rsidR="00514C75">
        <w:rPr>
          <w:szCs w:val="24"/>
        </w:rPr>
        <w:t>event</w:t>
      </w:r>
      <w:r>
        <w:rPr>
          <w:szCs w:val="24"/>
        </w:rPr>
        <w:t xml:space="preserve">, it was accepted that ground 2 did </w:t>
      </w:r>
      <w:r w:rsidR="00514C75">
        <w:rPr>
          <w:szCs w:val="24"/>
        </w:rPr>
        <w:t>not</w:t>
      </w:r>
      <w:r>
        <w:rPr>
          <w:szCs w:val="24"/>
        </w:rPr>
        <w:t xml:space="preserve"> arise and would </w:t>
      </w:r>
      <w:r w:rsidR="00514C75">
        <w:rPr>
          <w:szCs w:val="24"/>
        </w:rPr>
        <w:t>not</w:t>
      </w:r>
      <w:r>
        <w:rPr>
          <w:szCs w:val="24"/>
        </w:rPr>
        <w:t xml:space="preserve"> </w:t>
      </w:r>
      <w:r w:rsidR="00514C75">
        <w:rPr>
          <w:szCs w:val="24"/>
        </w:rPr>
        <w:t>be</w:t>
      </w:r>
      <w:r>
        <w:rPr>
          <w:szCs w:val="24"/>
        </w:rPr>
        <w:t xml:space="preserve"> argued.</w:t>
      </w:r>
    </w:p>
    <w:p w14:paraId="739D3F7A" w14:textId="2A9C30A7" w:rsidR="009A01DD" w:rsidRDefault="00A86F83" w:rsidP="00AC6944">
      <w:pPr>
        <w:pStyle w:val="ListParagraph"/>
        <w:numPr>
          <w:ilvl w:val="2"/>
          <w:numId w:val="15"/>
        </w:numPr>
        <w:spacing w:after="240" w:line="240" w:lineRule="auto"/>
        <w:contextualSpacing w:val="0"/>
        <w:jc w:val="both"/>
        <w:rPr>
          <w:szCs w:val="24"/>
        </w:rPr>
      </w:pPr>
      <w:r>
        <w:rPr>
          <w:szCs w:val="24"/>
        </w:rPr>
        <w:t xml:space="preserve">Mr Kirby was </w:t>
      </w:r>
      <w:r w:rsidR="002A21E8">
        <w:rPr>
          <w:szCs w:val="24"/>
        </w:rPr>
        <w:t xml:space="preserve">right </w:t>
      </w:r>
      <w:r>
        <w:rPr>
          <w:szCs w:val="24"/>
        </w:rPr>
        <w:t xml:space="preserve">to point out </w:t>
      </w:r>
      <w:r w:rsidR="002A21E8">
        <w:rPr>
          <w:szCs w:val="24"/>
        </w:rPr>
        <w:t xml:space="preserve">that the construction issue was argued before the </w:t>
      </w:r>
      <w:r w:rsidR="00A53559">
        <w:rPr>
          <w:szCs w:val="24"/>
        </w:rPr>
        <w:t>d</w:t>
      </w:r>
      <w:r w:rsidR="00E57DAB">
        <w:rPr>
          <w:szCs w:val="24"/>
        </w:rPr>
        <w:t>istrict</w:t>
      </w:r>
      <w:r w:rsidR="002A21E8">
        <w:rPr>
          <w:szCs w:val="24"/>
        </w:rPr>
        <w:t xml:space="preserve"> </w:t>
      </w:r>
      <w:r w:rsidR="00A53559">
        <w:rPr>
          <w:szCs w:val="24"/>
        </w:rPr>
        <w:t>j</w:t>
      </w:r>
      <w:r w:rsidR="00E57DAB">
        <w:rPr>
          <w:szCs w:val="24"/>
        </w:rPr>
        <w:t>udge</w:t>
      </w:r>
      <w:r w:rsidR="00F47E38">
        <w:rPr>
          <w:szCs w:val="24"/>
        </w:rPr>
        <w:t xml:space="preserve">, </w:t>
      </w:r>
      <w:r w:rsidR="009A01DD">
        <w:rPr>
          <w:szCs w:val="24"/>
        </w:rPr>
        <w:t>but</w:t>
      </w:r>
      <w:r w:rsidR="00F47E38">
        <w:rPr>
          <w:szCs w:val="24"/>
        </w:rPr>
        <w:t xml:space="preserve"> </w:t>
      </w:r>
      <w:r w:rsidR="002A21E8">
        <w:rPr>
          <w:szCs w:val="24"/>
        </w:rPr>
        <w:t xml:space="preserve">Mr Marven </w:t>
      </w:r>
      <w:r>
        <w:rPr>
          <w:szCs w:val="24"/>
        </w:rPr>
        <w:t>wa</w:t>
      </w:r>
      <w:r w:rsidR="002A21E8">
        <w:rPr>
          <w:szCs w:val="24"/>
        </w:rPr>
        <w:t xml:space="preserve">s right to point out that the “updating construction” argument was not advanced before the </w:t>
      </w:r>
      <w:r w:rsidR="00A53559">
        <w:rPr>
          <w:szCs w:val="24"/>
        </w:rPr>
        <w:t>d</w:t>
      </w:r>
      <w:r w:rsidR="00E57DAB">
        <w:rPr>
          <w:szCs w:val="24"/>
        </w:rPr>
        <w:t>istrict</w:t>
      </w:r>
      <w:r w:rsidR="002A21E8">
        <w:rPr>
          <w:szCs w:val="24"/>
        </w:rPr>
        <w:t xml:space="preserve"> </w:t>
      </w:r>
      <w:r w:rsidR="00A53559">
        <w:rPr>
          <w:szCs w:val="24"/>
        </w:rPr>
        <w:t>j</w:t>
      </w:r>
      <w:r w:rsidR="00E57DAB">
        <w:rPr>
          <w:szCs w:val="24"/>
        </w:rPr>
        <w:t>udge</w:t>
      </w:r>
      <w:r w:rsidR="002A21E8">
        <w:rPr>
          <w:szCs w:val="24"/>
        </w:rPr>
        <w:t xml:space="preserve">.  A refinement of legal submissions is not unusual on appeal, but </w:t>
      </w:r>
      <w:r>
        <w:rPr>
          <w:szCs w:val="24"/>
        </w:rPr>
        <w:t xml:space="preserve">this additional argument </w:t>
      </w:r>
      <w:r w:rsidR="00A53559">
        <w:rPr>
          <w:szCs w:val="24"/>
        </w:rPr>
        <w:t>serve</w:t>
      </w:r>
      <w:r>
        <w:rPr>
          <w:szCs w:val="24"/>
        </w:rPr>
        <w:t xml:space="preserve">d </w:t>
      </w:r>
      <w:r w:rsidR="00A53559">
        <w:rPr>
          <w:szCs w:val="24"/>
        </w:rPr>
        <w:t xml:space="preserve">to </w:t>
      </w:r>
      <w:r>
        <w:rPr>
          <w:szCs w:val="24"/>
        </w:rPr>
        <w:t>increase the scope of what the Defendant would have to deal with if the Claim</w:t>
      </w:r>
      <w:r w:rsidR="00F47E38">
        <w:rPr>
          <w:szCs w:val="24"/>
        </w:rPr>
        <w:t>a</w:t>
      </w:r>
      <w:r>
        <w:rPr>
          <w:szCs w:val="24"/>
        </w:rPr>
        <w:t xml:space="preserve">nt were permitted to file the </w:t>
      </w:r>
      <w:r w:rsidR="00A53559">
        <w:rPr>
          <w:szCs w:val="24"/>
        </w:rPr>
        <w:t>r</w:t>
      </w:r>
      <w:r>
        <w:rPr>
          <w:szCs w:val="24"/>
        </w:rPr>
        <w:t xml:space="preserve">espondent’s </w:t>
      </w:r>
      <w:r w:rsidR="00A53559">
        <w:rPr>
          <w:szCs w:val="24"/>
        </w:rPr>
        <w:t>n</w:t>
      </w:r>
      <w:r>
        <w:rPr>
          <w:szCs w:val="24"/>
        </w:rPr>
        <w:t>otice.</w:t>
      </w:r>
      <w:r w:rsidR="00777CC8">
        <w:rPr>
          <w:szCs w:val="24"/>
        </w:rPr>
        <w:t xml:space="preserve">  </w:t>
      </w:r>
    </w:p>
    <w:p w14:paraId="638C71EC" w14:textId="02EE5493" w:rsidR="00777CC8" w:rsidRPr="00777CC8" w:rsidRDefault="00777CC8" w:rsidP="00AC6944">
      <w:pPr>
        <w:pStyle w:val="ListParagraph"/>
        <w:numPr>
          <w:ilvl w:val="2"/>
          <w:numId w:val="15"/>
        </w:numPr>
        <w:spacing w:after="240" w:line="240" w:lineRule="auto"/>
        <w:contextualSpacing w:val="0"/>
        <w:jc w:val="both"/>
        <w:rPr>
          <w:szCs w:val="24"/>
        </w:rPr>
      </w:pPr>
      <w:r w:rsidRPr="00777CC8">
        <w:rPr>
          <w:szCs w:val="24"/>
        </w:rPr>
        <w:t xml:space="preserve">Understandably, Mr Marven had not come </w:t>
      </w:r>
      <w:r w:rsidR="009A01DD">
        <w:rPr>
          <w:szCs w:val="24"/>
        </w:rPr>
        <w:t xml:space="preserve">to the hearing of the appeal </w:t>
      </w:r>
      <w:r w:rsidRPr="00777CC8">
        <w:rPr>
          <w:szCs w:val="24"/>
        </w:rPr>
        <w:t xml:space="preserve">prepared to argue an issue which the Claimant did not have permission to raise.  </w:t>
      </w:r>
    </w:p>
    <w:p w14:paraId="759935B1" w14:textId="3F483AD5" w:rsidR="00A86F83" w:rsidRDefault="00A86F83" w:rsidP="00AC6944">
      <w:pPr>
        <w:pStyle w:val="ListParagraph"/>
        <w:numPr>
          <w:ilvl w:val="1"/>
          <w:numId w:val="15"/>
        </w:numPr>
        <w:spacing w:after="240" w:line="240" w:lineRule="auto"/>
        <w:contextualSpacing w:val="0"/>
        <w:jc w:val="both"/>
        <w:rPr>
          <w:szCs w:val="24"/>
        </w:rPr>
      </w:pPr>
      <w:r>
        <w:rPr>
          <w:szCs w:val="24"/>
        </w:rPr>
        <w:t>The</w:t>
      </w:r>
      <w:r w:rsidR="009A01DD">
        <w:rPr>
          <w:szCs w:val="24"/>
        </w:rPr>
        <w:t>re w</w:t>
      </w:r>
      <w:r w:rsidR="00A53559">
        <w:rPr>
          <w:szCs w:val="24"/>
        </w:rPr>
        <w:t>ould</w:t>
      </w:r>
      <w:r>
        <w:rPr>
          <w:szCs w:val="24"/>
        </w:rPr>
        <w:t xml:space="preserve"> </w:t>
      </w:r>
      <w:r w:rsidR="00A53559">
        <w:rPr>
          <w:szCs w:val="24"/>
        </w:rPr>
        <w:t xml:space="preserve">be </w:t>
      </w:r>
      <w:r>
        <w:rPr>
          <w:szCs w:val="24"/>
        </w:rPr>
        <w:t>prejudice to the Defendant</w:t>
      </w:r>
      <w:r w:rsidR="00A53559">
        <w:rPr>
          <w:szCs w:val="24"/>
        </w:rPr>
        <w:t xml:space="preserve"> </w:t>
      </w:r>
      <w:r w:rsidR="009E6131">
        <w:rPr>
          <w:szCs w:val="24"/>
        </w:rPr>
        <w:t>i</w:t>
      </w:r>
      <w:r w:rsidR="00A53559">
        <w:rPr>
          <w:szCs w:val="24"/>
        </w:rPr>
        <w:t>f the application were allowed</w:t>
      </w:r>
      <w:r w:rsidR="009A01DD">
        <w:rPr>
          <w:szCs w:val="24"/>
        </w:rPr>
        <w:t xml:space="preserve">, </w:t>
      </w:r>
      <w:r w:rsidR="00A53559">
        <w:rPr>
          <w:szCs w:val="24"/>
        </w:rPr>
        <w:t>not least becau</w:t>
      </w:r>
      <w:r w:rsidR="00AB1DAA">
        <w:rPr>
          <w:szCs w:val="24"/>
        </w:rPr>
        <w:t>s</w:t>
      </w:r>
      <w:r w:rsidR="00A53559">
        <w:rPr>
          <w:szCs w:val="24"/>
        </w:rPr>
        <w:t>e</w:t>
      </w:r>
      <w:r>
        <w:rPr>
          <w:szCs w:val="24"/>
        </w:rPr>
        <w:t xml:space="preserve"> the appeal would either have to be adjourned or heard in two parts.</w:t>
      </w:r>
    </w:p>
    <w:p w14:paraId="0BF2E130" w14:textId="29305AF7" w:rsidR="003C7B8B" w:rsidRDefault="00A86F83" w:rsidP="00AC6944">
      <w:pPr>
        <w:pStyle w:val="ListParagraph"/>
        <w:numPr>
          <w:ilvl w:val="1"/>
          <w:numId w:val="15"/>
        </w:numPr>
        <w:spacing w:after="240" w:line="240" w:lineRule="auto"/>
        <w:contextualSpacing w:val="0"/>
        <w:jc w:val="both"/>
        <w:rPr>
          <w:szCs w:val="24"/>
        </w:rPr>
      </w:pPr>
      <w:r>
        <w:rPr>
          <w:szCs w:val="24"/>
        </w:rPr>
        <w:t xml:space="preserve">There are, as I have mentioned, a series of similar appeals.  </w:t>
      </w:r>
      <w:r w:rsidR="003C7B8B">
        <w:rPr>
          <w:szCs w:val="24"/>
        </w:rPr>
        <w:t xml:space="preserve">I can readily see that </w:t>
      </w:r>
      <w:r w:rsidR="00514C75">
        <w:rPr>
          <w:szCs w:val="24"/>
        </w:rPr>
        <w:t>there</w:t>
      </w:r>
      <w:r w:rsidR="003C7B8B">
        <w:rPr>
          <w:szCs w:val="24"/>
        </w:rPr>
        <w:t xml:space="preserve"> is potential for the construction issue to arise in many </w:t>
      </w:r>
      <w:r w:rsidR="00CF2FB8">
        <w:rPr>
          <w:szCs w:val="24"/>
        </w:rPr>
        <w:t>of</w:t>
      </w:r>
      <w:r w:rsidR="003C7B8B">
        <w:rPr>
          <w:szCs w:val="24"/>
        </w:rPr>
        <w:t xml:space="preserve"> these cases, </w:t>
      </w:r>
      <w:r w:rsidR="00514C75">
        <w:rPr>
          <w:szCs w:val="24"/>
        </w:rPr>
        <w:t>since</w:t>
      </w:r>
      <w:r w:rsidR="003C7B8B">
        <w:rPr>
          <w:szCs w:val="24"/>
        </w:rPr>
        <w:t xml:space="preserve"> many claims brought under the Protocol settle without a claim form being issued.  However:</w:t>
      </w:r>
    </w:p>
    <w:p w14:paraId="25787FFD" w14:textId="7B94B04D" w:rsidR="003C7B8B" w:rsidRDefault="003C7B8B" w:rsidP="00AC6944">
      <w:pPr>
        <w:pStyle w:val="ListParagraph"/>
        <w:numPr>
          <w:ilvl w:val="2"/>
          <w:numId w:val="15"/>
        </w:numPr>
        <w:spacing w:after="240" w:line="240" w:lineRule="auto"/>
        <w:contextualSpacing w:val="0"/>
        <w:jc w:val="both"/>
        <w:rPr>
          <w:szCs w:val="24"/>
        </w:rPr>
      </w:pPr>
      <w:r>
        <w:rPr>
          <w:szCs w:val="24"/>
        </w:rPr>
        <w:t xml:space="preserve">Curiously, Mr Kirby’s recollection was </w:t>
      </w:r>
      <w:r w:rsidR="009E6131">
        <w:rPr>
          <w:szCs w:val="24"/>
        </w:rPr>
        <w:t xml:space="preserve">that </w:t>
      </w:r>
      <w:r>
        <w:rPr>
          <w:szCs w:val="24"/>
        </w:rPr>
        <w:t xml:space="preserve">the issue has not arisen in any other appeal.  If he is right, then this may be because the defendants in such cases have taken the same position as the defendant in </w:t>
      </w:r>
      <w:r w:rsidRPr="003C7B8B">
        <w:rPr>
          <w:i/>
          <w:iCs/>
          <w:szCs w:val="24"/>
        </w:rPr>
        <w:t>Belsner v Cam Legal Services Ltd</w:t>
      </w:r>
      <w:r>
        <w:rPr>
          <w:szCs w:val="24"/>
        </w:rPr>
        <w:t xml:space="preserve">.  I do </w:t>
      </w:r>
      <w:r w:rsidR="00514C75">
        <w:rPr>
          <w:szCs w:val="24"/>
        </w:rPr>
        <w:t>not</w:t>
      </w:r>
      <w:r>
        <w:rPr>
          <w:szCs w:val="24"/>
        </w:rPr>
        <w:t xml:space="preserve"> know, because </w:t>
      </w:r>
      <w:r w:rsidR="00514C75">
        <w:rPr>
          <w:szCs w:val="24"/>
        </w:rPr>
        <w:t>there</w:t>
      </w:r>
      <w:r>
        <w:rPr>
          <w:szCs w:val="24"/>
        </w:rPr>
        <w:t xml:space="preserve"> was no evidence before me on this point.  However, if Mr Kirby was right, </w:t>
      </w:r>
      <w:r w:rsidR="00514C75">
        <w:rPr>
          <w:szCs w:val="24"/>
        </w:rPr>
        <w:t>then that</w:t>
      </w:r>
      <w:r w:rsidR="00D21C13">
        <w:rPr>
          <w:szCs w:val="24"/>
        </w:rPr>
        <w:t xml:space="preserve"> tends to cast doubt on his assertion that the construction issue is an important issue which needs to be resolved urgently.</w:t>
      </w:r>
    </w:p>
    <w:p w14:paraId="1F7FBB41" w14:textId="2B82E0FC" w:rsidR="000B6A99" w:rsidRDefault="003C7B8B" w:rsidP="00AC6944">
      <w:pPr>
        <w:pStyle w:val="ListParagraph"/>
        <w:numPr>
          <w:ilvl w:val="2"/>
          <w:numId w:val="15"/>
        </w:numPr>
        <w:spacing w:after="240" w:line="240" w:lineRule="auto"/>
        <w:contextualSpacing w:val="0"/>
        <w:jc w:val="both"/>
        <w:rPr>
          <w:szCs w:val="24"/>
        </w:rPr>
      </w:pPr>
      <w:r>
        <w:rPr>
          <w:szCs w:val="24"/>
        </w:rPr>
        <w:t>Nevertheless, i</w:t>
      </w:r>
      <w:r w:rsidR="00A86F83">
        <w:rPr>
          <w:szCs w:val="24"/>
        </w:rPr>
        <w:t>f there is a need to resolve the construction issue, then it will arise in another appeal or appeals and can be dealt with then.</w:t>
      </w:r>
    </w:p>
    <w:p w14:paraId="0F1E81CB" w14:textId="43C6FBA7" w:rsidR="00A86F83" w:rsidRPr="00A86F83" w:rsidRDefault="00A86F83" w:rsidP="00AC6944">
      <w:pPr>
        <w:spacing w:after="240" w:line="240" w:lineRule="auto"/>
        <w:ind w:left="720"/>
        <w:jc w:val="both"/>
        <w:rPr>
          <w:b/>
          <w:bCs/>
          <w:szCs w:val="24"/>
        </w:rPr>
      </w:pPr>
      <w:r>
        <w:rPr>
          <w:b/>
          <w:bCs/>
          <w:szCs w:val="24"/>
        </w:rPr>
        <w:t xml:space="preserve">(4) The </w:t>
      </w:r>
      <w:r w:rsidR="005778FC">
        <w:rPr>
          <w:b/>
          <w:bCs/>
          <w:szCs w:val="24"/>
        </w:rPr>
        <w:t>Terms of the Contract</w:t>
      </w:r>
    </w:p>
    <w:p w14:paraId="7A770264" w14:textId="67E3C430" w:rsidR="005778FC" w:rsidRDefault="005778FC" w:rsidP="00AC6944">
      <w:pPr>
        <w:pStyle w:val="ListParagraph"/>
        <w:numPr>
          <w:ilvl w:val="0"/>
          <w:numId w:val="15"/>
        </w:numPr>
        <w:spacing w:after="240" w:line="240" w:lineRule="auto"/>
        <w:contextualSpacing w:val="0"/>
        <w:jc w:val="both"/>
        <w:rPr>
          <w:szCs w:val="24"/>
        </w:rPr>
      </w:pPr>
      <w:r>
        <w:rPr>
          <w:szCs w:val="24"/>
        </w:rPr>
        <w:t>Mr Marven made two submissions about the terms of the contract between the Claimant and the Defendant.</w:t>
      </w:r>
    </w:p>
    <w:p w14:paraId="1831EC80" w14:textId="381D8AB8" w:rsidR="005778FC" w:rsidRDefault="005778FC" w:rsidP="00AC6944">
      <w:pPr>
        <w:pStyle w:val="ListParagraph"/>
        <w:numPr>
          <w:ilvl w:val="0"/>
          <w:numId w:val="15"/>
        </w:numPr>
        <w:spacing w:after="240" w:line="240" w:lineRule="auto"/>
        <w:contextualSpacing w:val="0"/>
        <w:jc w:val="both"/>
        <w:rPr>
          <w:szCs w:val="24"/>
        </w:rPr>
      </w:pPr>
      <w:r>
        <w:rPr>
          <w:szCs w:val="24"/>
        </w:rPr>
        <w:t xml:space="preserve">First, he submitted that it was a term of the contract that the amount which the </w:t>
      </w:r>
      <w:r w:rsidR="00514C75">
        <w:rPr>
          <w:szCs w:val="24"/>
        </w:rPr>
        <w:t>Claimant</w:t>
      </w:r>
      <w:r>
        <w:rPr>
          <w:szCs w:val="24"/>
        </w:rPr>
        <w:t xml:space="preserve"> could recover from the Defendant in respect of cost</w:t>
      </w:r>
      <w:r w:rsidR="00933C52">
        <w:rPr>
          <w:szCs w:val="24"/>
        </w:rPr>
        <w:t>s</w:t>
      </w:r>
      <w:r>
        <w:rPr>
          <w:szCs w:val="24"/>
        </w:rPr>
        <w:t xml:space="preserve"> was limited to 25% of the damages </w:t>
      </w:r>
      <w:r w:rsidR="00514C75">
        <w:rPr>
          <w:szCs w:val="24"/>
        </w:rPr>
        <w:t>received</w:t>
      </w:r>
      <w:r>
        <w:rPr>
          <w:szCs w:val="24"/>
        </w:rPr>
        <w:t xml:space="preserve"> by the </w:t>
      </w:r>
      <w:r w:rsidR="00514C75">
        <w:rPr>
          <w:szCs w:val="24"/>
        </w:rPr>
        <w:t>Claimant</w:t>
      </w:r>
      <w:r>
        <w:rPr>
          <w:szCs w:val="24"/>
        </w:rPr>
        <w:t xml:space="preserve">.  I do </w:t>
      </w:r>
      <w:r w:rsidR="00514C75">
        <w:rPr>
          <w:szCs w:val="24"/>
        </w:rPr>
        <w:t>not</w:t>
      </w:r>
      <w:r>
        <w:rPr>
          <w:szCs w:val="24"/>
        </w:rPr>
        <w:t xml:space="preserve"> accept this:  </w:t>
      </w:r>
    </w:p>
    <w:p w14:paraId="23D9E09C" w14:textId="50F4E723" w:rsidR="005778FC" w:rsidRDefault="005778FC" w:rsidP="00AC6944">
      <w:pPr>
        <w:pStyle w:val="ListParagraph"/>
        <w:numPr>
          <w:ilvl w:val="1"/>
          <w:numId w:val="15"/>
        </w:numPr>
        <w:spacing w:after="240" w:line="240" w:lineRule="auto"/>
        <w:contextualSpacing w:val="0"/>
        <w:jc w:val="both"/>
        <w:rPr>
          <w:szCs w:val="24"/>
        </w:rPr>
      </w:pPr>
      <w:r>
        <w:rPr>
          <w:szCs w:val="24"/>
        </w:rPr>
        <w:t xml:space="preserve">The success fee was capped at 25% of the relevant damages by clause 4.1 of the CFA, but there was no such agreement in relation to the </w:t>
      </w:r>
      <w:r w:rsidR="00514C75">
        <w:rPr>
          <w:szCs w:val="24"/>
        </w:rPr>
        <w:t>Defendant’s</w:t>
      </w:r>
      <w:r>
        <w:rPr>
          <w:szCs w:val="24"/>
        </w:rPr>
        <w:t xml:space="preserve"> bas</w:t>
      </w:r>
      <w:r w:rsidR="00AD4363">
        <w:rPr>
          <w:szCs w:val="24"/>
        </w:rPr>
        <w:t xml:space="preserve">e </w:t>
      </w:r>
      <w:r>
        <w:rPr>
          <w:szCs w:val="24"/>
        </w:rPr>
        <w:t>costs.</w:t>
      </w:r>
    </w:p>
    <w:p w14:paraId="189A4159" w14:textId="6272B9AC" w:rsidR="00381FBC" w:rsidRDefault="00381FBC" w:rsidP="00AC6944">
      <w:pPr>
        <w:pStyle w:val="ListParagraph"/>
        <w:numPr>
          <w:ilvl w:val="1"/>
          <w:numId w:val="15"/>
        </w:numPr>
        <w:spacing w:after="240" w:line="240" w:lineRule="auto"/>
        <w:contextualSpacing w:val="0"/>
        <w:jc w:val="both"/>
        <w:rPr>
          <w:szCs w:val="24"/>
        </w:rPr>
      </w:pPr>
      <w:r>
        <w:rPr>
          <w:szCs w:val="24"/>
        </w:rPr>
        <w:t>On the contrary, paragraph 8</w:t>
      </w:r>
      <w:r w:rsidR="00A53559">
        <w:rPr>
          <w:szCs w:val="24"/>
        </w:rPr>
        <w:t>.1</w:t>
      </w:r>
      <w:r>
        <w:rPr>
          <w:szCs w:val="24"/>
        </w:rPr>
        <w:t xml:space="preserve"> of the </w:t>
      </w:r>
      <w:r w:rsidR="00514C75">
        <w:rPr>
          <w:szCs w:val="24"/>
        </w:rPr>
        <w:t>document</w:t>
      </w:r>
      <w:r>
        <w:rPr>
          <w:szCs w:val="24"/>
        </w:rPr>
        <w:t xml:space="preserve"> entitled “CFA: What You Need To Know” expressly provided that, if the </w:t>
      </w:r>
      <w:r w:rsidR="00514C75">
        <w:rPr>
          <w:szCs w:val="24"/>
        </w:rPr>
        <w:t>Claimant</w:t>
      </w:r>
      <w:r>
        <w:rPr>
          <w:szCs w:val="24"/>
        </w:rPr>
        <w:t xml:space="preserve"> won her case, she would then be liable to pay </w:t>
      </w:r>
      <w:r w:rsidRPr="00381FBC">
        <w:rPr>
          <w:szCs w:val="24"/>
          <w:u w:val="single"/>
        </w:rPr>
        <w:t>all</w:t>
      </w:r>
      <w:r w:rsidRPr="00514C75">
        <w:rPr>
          <w:szCs w:val="24"/>
        </w:rPr>
        <w:t xml:space="preserve"> </w:t>
      </w:r>
      <w:r>
        <w:rPr>
          <w:szCs w:val="24"/>
        </w:rPr>
        <w:t xml:space="preserve">the </w:t>
      </w:r>
      <w:r w:rsidR="00514C75">
        <w:rPr>
          <w:szCs w:val="24"/>
        </w:rPr>
        <w:t>Defendant’s</w:t>
      </w:r>
      <w:r>
        <w:rPr>
          <w:szCs w:val="24"/>
        </w:rPr>
        <w:t xml:space="preserve"> basic charges.  This </w:t>
      </w:r>
      <w:r w:rsidR="00514C75">
        <w:rPr>
          <w:szCs w:val="24"/>
        </w:rPr>
        <w:t>is</w:t>
      </w:r>
      <w:r>
        <w:rPr>
          <w:szCs w:val="24"/>
        </w:rPr>
        <w:t xml:space="preserve"> consistent with </w:t>
      </w:r>
      <w:r w:rsidR="00A53559">
        <w:rPr>
          <w:szCs w:val="24"/>
        </w:rPr>
        <w:t>paragraphs 2.2, 3.2</w:t>
      </w:r>
      <w:r w:rsidR="009E6131">
        <w:rPr>
          <w:szCs w:val="24"/>
        </w:rPr>
        <w:t>,</w:t>
      </w:r>
      <w:r w:rsidR="00A53559">
        <w:rPr>
          <w:szCs w:val="24"/>
        </w:rPr>
        <w:t xml:space="preserve"> 3.3</w:t>
      </w:r>
      <w:r w:rsidR="009E6131">
        <w:rPr>
          <w:szCs w:val="24"/>
        </w:rPr>
        <w:t>,</w:t>
      </w:r>
      <w:r w:rsidR="00A53559">
        <w:rPr>
          <w:szCs w:val="24"/>
        </w:rPr>
        <w:t xml:space="preserve"> 8.2 and 8.4 of that document and </w:t>
      </w:r>
      <w:r>
        <w:rPr>
          <w:szCs w:val="24"/>
        </w:rPr>
        <w:t>clause 3.1 of the CFA</w:t>
      </w:r>
      <w:r w:rsidR="00A53559">
        <w:rPr>
          <w:szCs w:val="24"/>
        </w:rPr>
        <w:t>.</w:t>
      </w:r>
    </w:p>
    <w:p w14:paraId="1AF98E43" w14:textId="38DA3A61" w:rsidR="005778FC" w:rsidRDefault="005778FC" w:rsidP="00AC6944">
      <w:pPr>
        <w:pStyle w:val="ListParagraph"/>
        <w:numPr>
          <w:ilvl w:val="1"/>
          <w:numId w:val="15"/>
        </w:numPr>
        <w:spacing w:after="240" w:line="240" w:lineRule="auto"/>
        <w:contextualSpacing w:val="0"/>
        <w:jc w:val="both"/>
        <w:rPr>
          <w:szCs w:val="24"/>
        </w:rPr>
      </w:pPr>
      <w:r>
        <w:rPr>
          <w:szCs w:val="24"/>
        </w:rPr>
        <w:lastRenderedPageBreak/>
        <w:t xml:space="preserve">The </w:t>
      </w:r>
      <w:r w:rsidR="00381FBC">
        <w:rPr>
          <w:szCs w:val="24"/>
        </w:rPr>
        <w:t>C</w:t>
      </w:r>
      <w:r>
        <w:rPr>
          <w:szCs w:val="24"/>
        </w:rPr>
        <w:t xml:space="preserve">lient </w:t>
      </w:r>
      <w:r w:rsidR="00381FBC">
        <w:rPr>
          <w:szCs w:val="24"/>
        </w:rPr>
        <w:t>C</w:t>
      </w:r>
      <w:r>
        <w:rPr>
          <w:szCs w:val="24"/>
        </w:rPr>
        <w:t xml:space="preserve">are </w:t>
      </w:r>
      <w:r w:rsidR="00514C75">
        <w:rPr>
          <w:szCs w:val="24"/>
        </w:rPr>
        <w:t>Letter</w:t>
      </w:r>
      <w:r>
        <w:rPr>
          <w:szCs w:val="24"/>
        </w:rPr>
        <w:t xml:space="preserve"> </w:t>
      </w:r>
      <w:r w:rsidR="00381FBC">
        <w:rPr>
          <w:szCs w:val="24"/>
        </w:rPr>
        <w:t xml:space="preserve">stated that the </w:t>
      </w:r>
      <w:r w:rsidR="00514C75">
        <w:rPr>
          <w:szCs w:val="24"/>
        </w:rPr>
        <w:t>Defendant</w:t>
      </w:r>
      <w:r w:rsidR="00381FBC">
        <w:rPr>
          <w:szCs w:val="24"/>
        </w:rPr>
        <w:t xml:space="preserve"> aimed to achieve an outcome whereby no more than 25% of the </w:t>
      </w:r>
      <w:r w:rsidR="00514C75">
        <w:rPr>
          <w:szCs w:val="24"/>
        </w:rPr>
        <w:t>Claimant’s</w:t>
      </w:r>
      <w:r w:rsidR="00381FBC">
        <w:rPr>
          <w:szCs w:val="24"/>
        </w:rPr>
        <w:t xml:space="preserve"> </w:t>
      </w:r>
      <w:r w:rsidR="00514C75">
        <w:rPr>
          <w:szCs w:val="24"/>
        </w:rPr>
        <w:t>damages</w:t>
      </w:r>
      <w:r w:rsidR="00381FBC">
        <w:rPr>
          <w:szCs w:val="24"/>
        </w:rPr>
        <w:t xml:space="preserve"> were deducted in respect </w:t>
      </w:r>
      <w:r w:rsidR="00CF2FB8">
        <w:rPr>
          <w:szCs w:val="24"/>
        </w:rPr>
        <w:t>of</w:t>
      </w:r>
      <w:r w:rsidR="00381FBC">
        <w:rPr>
          <w:szCs w:val="24"/>
        </w:rPr>
        <w:t xml:space="preserve"> costs.  That, however, was an aspiration rather than a commitment.</w:t>
      </w:r>
      <w:r w:rsidRPr="00381FBC">
        <w:rPr>
          <w:szCs w:val="24"/>
        </w:rPr>
        <w:t xml:space="preserve">   </w:t>
      </w:r>
    </w:p>
    <w:p w14:paraId="73D105A9" w14:textId="08567318" w:rsidR="00AB1DAA" w:rsidRDefault="00A53559" w:rsidP="00AC6944">
      <w:pPr>
        <w:pStyle w:val="ListParagraph"/>
        <w:numPr>
          <w:ilvl w:val="1"/>
          <w:numId w:val="15"/>
        </w:numPr>
        <w:spacing w:after="240" w:line="240" w:lineRule="auto"/>
        <w:contextualSpacing w:val="0"/>
        <w:jc w:val="both"/>
        <w:rPr>
          <w:szCs w:val="24"/>
        </w:rPr>
      </w:pPr>
      <w:r>
        <w:rPr>
          <w:szCs w:val="24"/>
        </w:rPr>
        <w:t xml:space="preserve">Mr Marven relied on </w:t>
      </w:r>
      <w:r w:rsidR="00AB1DAA">
        <w:rPr>
          <w:szCs w:val="24"/>
        </w:rPr>
        <w:t>the next two sentences in the Client Care Letter, which read:</w:t>
      </w:r>
    </w:p>
    <w:p w14:paraId="26FE7F45" w14:textId="3E87DB4D" w:rsidR="00A53559" w:rsidRPr="00AB1DAA" w:rsidRDefault="00AB1DAA" w:rsidP="00AC6944">
      <w:pPr>
        <w:pStyle w:val="ListParagraph"/>
        <w:spacing w:after="240" w:line="240" w:lineRule="auto"/>
        <w:ind w:left="2160"/>
        <w:contextualSpacing w:val="0"/>
        <w:jc w:val="both"/>
        <w:rPr>
          <w:szCs w:val="24"/>
        </w:rPr>
      </w:pPr>
      <w:r>
        <w:rPr>
          <w:szCs w:val="24"/>
        </w:rPr>
        <w:t>“</w:t>
      </w:r>
      <w:r w:rsidRPr="00AB1DAA">
        <w:rPr>
          <w:szCs w:val="24"/>
        </w:rPr>
        <w:t>This is achievable because the Court rules currently allow you to recover costs from your opponent and so this enables us to claim your costs from your opponent rather than entirely from your damages.  If the rules were to change to prevent you from recovering costs from your opponent, then by entering into the CFA with us, you hereby agree that we would be entitled to deduct a higher proportion than 25% of your damages in respect of costs.</w:t>
      </w:r>
      <w:r>
        <w:rPr>
          <w:szCs w:val="24"/>
        </w:rPr>
        <w:t>”</w:t>
      </w:r>
    </w:p>
    <w:p w14:paraId="6D2829D8" w14:textId="6649D40C" w:rsidR="00A53559" w:rsidRPr="00381FBC" w:rsidRDefault="00AB1DAA" w:rsidP="00AC6944">
      <w:pPr>
        <w:pStyle w:val="ListParagraph"/>
        <w:numPr>
          <w:ilvl w:val="1"/>
          <w:numId w:val="15"/>
        </w:numPr>
        <w:spacing w:after="240" w:line="240" w:lineRule="auto"/>
        <w:contextualSpacing w:val="0"/>
        <w:jc w:val="both"/>
        <w:rPr>
          <w:szCs w:val="24"/>
        </w:rPr>
      </w:pPr>
      <w:r>
        <w:rPr>
          <w:szCs w:val="24"/>
        </w:rPr>
        <w:t>He submitted that it was implicit in the second of these sentences that, unless the rules of court were changed, the Defendant could not deduct more than 25% of the Claimant’s damages in respect of cost</w:t>
      </w:r>
      <w:r w:rsidR="009E6131">
        <w:rPr>
          <w:szCs w:val="24"/>
        </w:rPr>
        <w:t>s</w:t>
      </w:r>
      <w:r>
        <w:rPr>
          <w:szCs w:val="24"/>
        </w:rPr>
        <w:t>.  However, in my judgment it is not possible to imply such a term in the face of an express term to the contrary, namely paragraph 8.1 of the document entitled “CFA: What You Need To Know”.</w:t>
      </w:r>
    </w:p>
    <w:p w14:paraId="254E7250" w14:textId="1F85FABB" w:rsidR="005778FC" w:rsidRPr="005778FC" w:rsidRDefault="00514C75" w:rsidP="00AC6944">
      <w:pPr>
        <w:pStyle w:val="ListParagraph"/>
        <w:numPr>
          <w:ilvl w:val="0"/>
          <w:numId w:val="15"/>
        </w:numPr>
        <w:spacing w:after="240" w:line="240" w:lineRule="auto"/>
        <w:contextualSpacing w:val="0"/>
        <w:jc w:val="both"/>
        <w:rPr>
          <w:szCs w:val="24"/>
        </w:rPr>
      </w:pPr>
      <w:r>
        <w:rPr>
          <w:szCs w:val="24"/>
        </w:rPr>
        <w:t>Secondly</w:t>
      </w:r>
      <w:r w:rsidR="005778FC">
        <w:rPr>
          <w:szCs w:val="24"/>
        </w:rPr>
        <w:t xml:space="preserve">, he submitted that, by agreeing to the contract, the </w:t>
      </w:r>
      <w:r>
        <w:rPr>
          <w:szCs w:val="24"/>
        </w:rPr>
        <w:t>Claimant</w:t>
      </w:r>
      <w:r w:rsidR="005778FC">
        <w:rPr>
          <w:szCs w:val="24"/>
        </w:rPr>
        <w:t xml:space="preserve"> agreed to the Defendant’s hourly rate of £16</w:t>
      </w:r>
      <w:r w:rsidR="005B566F">
        <w:rPr>
          <w:szCs w:val="24"/>
        </w:rPr>
        <w:t>1</w:t>
      </w:r>
      <w:r w:rsidR="005778FC">
        <w:rPr>
          <w:szCs w:val="24"/>
        </w:rPr>
        <w:t xml:space="preserve"> per hour for a Grade D fee earner.  I do </w:t>
      </w:r>
      <w:r>
        <w:rPr>
          <w:szCs w:val="24"/>
        </w:rPr>
        <w:t>not</w:t>
      </w:r>
      <w:r w:rsidR="005778FC">
        <w:rPr>
          <w:szCs w:val="24"/>
        </w:rPr>
        <w:t xml:space="preserve"> accept this</w:t>
      </w:r>
      <w:r w:rsidR="00E52B8F">
        <w:rPr>
          <w:szCs w:val="24"/>
        </w:rPr>
        <w:t xml:space="preserve"> either</w:t>
      </w:r>
      <w:r w:rsidR="005778FC">
        <w:rPr>
          <w:szCs w:val="24"/>
        </w:rPr>
        <w:t>.  As I have already pointed out, a</w:t>
      </w:r>
      <w:r w:rsidR="005778FC" w:rsidRPr="005778FC">
        <w:rPr>
          <w:rFonts w:eastAsia="Times New Roman" w:cs="Times New Roman"/>
          <w:szCs w:val="24"/>
        </w:rPr>
        <w:t>lthough paragraphs 3.1 and 3.2 of th</w:t>
      </w:r>
      <w:r w:rsidR="005778FC">
        <w:rPr>
          <w:rFonts w:eastAsia="Times New Roman" w:cs="Times New Roman"/>
          <w:szCs w:val="24"/>
        </w:rPr>
        <w:t>e</w:t>
      </w:r>
      <w:r w:rsidR="005778FC" w:rsidRPr="005778FC">
        <w:rPr>
          <w:rFonts w:eastAsia="Times New Roman" w:cs="Times New Roman"/>
          <w:szCs w:val="24"/>
        </w:rPr>
        <w:t xml:space="preserve"> document </w:t>
      </w:r>
      <w:r w:rsidR="005778FC">
        <w:rPr>
          <w:rFonts w:eastAsia="Times New Roman" w:cs="Times New Roman"/>
          <w:szCs w:val="24"/>
        </w:rPr>
        <w:t xml:space="preserve">headed “CFA: What You Need To Know” </w:t>
      </w:r>
      <w:r w:rsidR="005778FC" w:rsidRPr="005778FC">
        <w:rPr>
          <w:rFonts w:eastAsia="Times New Roman" w:cs="Times New Roman"/>
          <w:szCs w:val="24"/>
        </w:rPr>
        <w:t xml:space="preserve">referred to the Defendant’s hourly rates and said that they were set out in </w:t>
      </w:r>
      <w:r w:rsidR="00E52B8F">
        <w:rPr>
          <w:rFonts w:eastAsia="Times New Roman" w:cs="Times New Roman"/>
          <w:szCs w:val="24"/>
        </w:rPr>
        <w:t>the</w:t>
      </w:r>
      <w:r w:rsidR="005778FC" w:rsidRPr="005778FC">
        <w:rPr>
          <w:rFonts w:eastAsia="Times New Roman" w:cs="Times New Roman"/>
          <w:szCs w:val="24"/>
        </w:rPr>
        <w:t xml:space="preserve"> Client Care Booklet</w:t>
      </w:r>
      <w:r w:rsidR="00381FBC">
        <w:rPr>
          <w:rFonts w:eastAsia="Times New Roman" w:cs="Times New Roman"/>
          <w:szCs w:val="24"/>
        </w:rPr>
        <w:t xml:space="preserve"> </w:t>
      </w:r>
      <w:bookmarkStart w:id="10" w:name="_Hlk72237561"/>
      <w:r w:rsidR="00381FBC">
        <w:rPr>
          <w:rFonts w:eastAsia="Times New Roman" w:cs="Times New Roman"/>
          <w:szCs w:val="24"/>
        </w:rPr>
        <w:t xml:space="preserve">and that the </w:t>
      </w:r>
      <w:r>
        <w:rPr>
          <w:rFonts w:eastAsia="Times New Roman" w:cs="Times New Roman"/>
          <w:szCs w:val="24"/>
        </w:rPr>
        <w:t>Claimant</w:t>
      </w:r>
      <w:r w:rsidR="00381FBC">
        <w:rPr>
          <w:rFonts w:eastAsia="Times New Roman" w:cs="Times New Roman"/>
          <w:szCs w:val="24"/>
        </w:rPr>
        <w:t xml:space="preserve"> agreed and approved them</w:t>
      </w:r>
      <w:bookmarkEnd w:id="10"/>
      <w:r w:rsidR="005778FC" w:rsidRPr="005778FC">
        <w:rPr>
          <w:rFonts w:eastAsia="Times New Roman" w:cs="Times New Roman"/>
          <w:szCs w:val="24"/>
        </w:rPr>
        <w:t>, I was not shown any contractual document which set out the Defendant’s hourly rates.</w:t>
      </w:r>
      <w:r w:rsidR="005778FC">
        <w:rPr>
          <w:rFonts w:eastAsia="Times New Roman" w:cs="Times New Roman"/>
          <w:szCs w:val="24"/>
        </w:rPr>
        <w:t xml:space="preserve">  In particular, I have not seen any contractual document which refers to a rate of £161 per hour.</w:t>
      </w:r>
      <w:r w:rsidR="009E6131">
        <w:rPr>
          <w:rFonts w:eastAsia="Times New Roman" w:cs="Times New Roman"/>
          <w:szCs w:val="24"/>
        </w:rPr>
        <w:t xml:space="preserve">  In those circumstances, I do not see how it can be alleged that the Claimant agreed that </w:t>
      </w:r>
      <w:r w:rsidR="0062315D">
        <w:rPr>
          <w:rFonts w:eastAsia="Times New Roman" w:cs="Times New Roman"/>
          <w:szCs w:val="24"/>
        </w:rPr>
        <w:t xml:space="preserve">she would pay for the time of </w:t>
      </w:r>
      <w:r w:rsidR="009E6131">
        <w:rPr>
          <w:rFonts w:eastAsia="Times New Roman" w:cs="Times New Roman"/>
          <w:szCs w:val="24"/>
        </w:rPr>
        <w:t xml:space="preserve">the Defendant’s Grade D fee earners </w:t>
      </w:r>
      <w:r w:rsidR="0062315D">
        <w:rPr>
          <w:rFonts w:eastAsia="Times New Roman" w:cs="Times New Roman"/>
          <w:szCs w:val="24"/>
        </w:rPr>
        <w:t xml:space="preserve">at the rate of £161 per hour. </w:t>
      </w:r>
      <w:r w:rsidR="005778FC">
        <w:rPr>
          <w:rFonts w:eastAsia="Times New Roman" w:cs="Times New Roman"/>
          <w:szCs w:val="24"/>
        </w:rPr>
        <w:t xml:space="preserve">  </w:t>
      </w:r>
    </w:p>
    <w:p w14:paraId="1AAD330A" w14:textId="3FF71C22" w:rsidR="005778FC" w:rsidRPr="005778FC" w:rsidRDefault="005778FC" w:rsidP="00AC6944">
      <w:pPr>
        <w:pStyle w:val="ListParagraph"/>
        <w:spacing w:after="240" w:line="240" w:lineRule="auto"/>
        <w:contextualSpacing w:val="0"/>
        <w:jc w:val="both"/>
        <w:rPr>
          <w:b/>
          <w:bCs/>
          <w:szCs w:val="24"/>
        </w:rPr>
      </w:pPr>
      <w:r>
        <w:rPr>
          <w:b/>
          <w:bCs/>
          <w:szCs w:val="24"/>
        </w:rPr>
        <w:t>(5) Ground 1</w:t>
      </w:r>
      <w:r w:rsidR="00532B43">
        <w:rPr>
          <w:b/>
          <w:bCs/>
          <w:szCs w:val="24"/>
        </w:rPr>
        <w:t>: The Limitation Decision</w:t>
      </w:r>
    </w:p>
    <w:p w14:paraId="4441DEC2" w14:textId="5FB3E155" w:rsidR="00232F1F" w:rsidRDefault="00BE4035" w:rsidP="00AC6944">
      <w:pPr>
        <w:pStyle w:val="ListParagraph"/>
        <w:numPr>
          <w:ilvl w:val="0"/>
          <w:numId w:val="15"/>
        </w:numPr>
        <w:spacing w:after="240" w:line="240" w:lineRule="auto"/>
        <w:contextualSpacing w:val="0"/>
        <w:jc w:val="both"/>
        <w:rPr>
          <w:szCs w:val="24"/>
        </w:rPr>
      </w:pPr>
      <w:r>
        <w:rPr>
          <w:szCs w:val="24"/>
        </w:rPr>
        <w:t>By ground 1, the Defendant challenges the limitation decision</w:t>
      </w:r>
      <w:r w:rsidR="006D14E9">
        <w:rPr>
          <w:szCs w:val="24"/>
        </w:rPr>
        <w:t xml:space="preserve">.  This ground of appeal will involve a consideration of sub-paragraphs (a), (b) and (c) of CPR 46.9(3), but it is appropriate to begin by considering the terms of </w:t>
      </w:r>
      <w:bookmarkStart w:id="11" w:name="_Hlk72156951"/>
      <w:r w:rsidR="006D14E9">
        <w:rPr>
          <w:szCs w:val="24"/>
        </w:rPr>
        <w:t>CPR 44(1)-(3) and 46.9(1) &amp; (3)</w:t>
      </w:r>
      <w:bookmarkEnd w:id="11"/>
      <w:r w:rsidR="006D14E9">
        <w:rPr>
          <w:szCs w:val="24"/>
        </w:rPr>
        <w:t>.</w:t>
      </w:r>
    </w:p>
    <w:p w14:paraId="12D86E19" w14:textId="4104CF55" w:rsidR="00232F1F" w:rsidRPr="00232F1F" w:rsidRDefault="00232F1F" w:rsidP="00AC6944">
      <w:pPr>
        <w:pStyle w:val="ListParagraph"/>
        <w:numPr>
          <w:ilvl w:val="0"/>
          <w:numId w:val="15"/>
        </w:numPr>
        <w:spacing w:after="240" w:line="240" w:lineRule="auto"/>
        <w:contextualSpacing w:val="0"/>
        <w:jc w:val="both"/>
        <w:rPr>
          <w:szCs w:val="24"/>
        </w:rPr>
      </w:pPr>
      <w:r>
        <w:rPr>
          <w:szCs w:val="24"/>
        </w:rPr>
        <w:t>Mr Kirby referred in his submissions t</w:t>
      </w:r>
      <w:r w:rsidR="00017F4B">
        <w:rPr>
          <w:szCs w:val="24"/>
        </w:rPr>
        <w:t>o</w:t>
      </w:r>
      <w:r>
        <w:rPr>
          <w:szCs w:val="24"/>
        </w:rPr>
        <w:t xml:space="preserve"> </w:t>
      </w:r>
      <w:r w:rsidR="00017F4B">
        <w:rPr>
          <w:szCs w:val="24"/>
        </w:rPr>
        <w:t xml:space="preserve">the Solicitors (Non-Contentious Business) Remuneration Order 2009, but the </w:t>
      </w:r>
      <w:r w:rsidR="00E57DAB">
        <w:rPr>
          <w:szCs w:val="24"/>
        </w:rPr>
        <w:t>district</w:t>
      </w:r>
      <w:r w:rsidR="00017F4B">
        <w:rPr>
          <w:szCs w:val="24"/>
        </w:rPr>
        <w:t xml:space="preserve"> </w:t>
      </w:r>
      <w:r w:rsidR="00E57DAB">
        <w:rPr>
          <w:szCs w:val="24"/>
        </w:rPr>
        <w:t>judge</w:t>
      </w:r>
      <w:r w:rsidR="00017F4B">
        <w:rPr>
          <w:szCs w:val="24"/>
        </w:rPr>
        <w:t xml:space="preserve"> did </w:t>
      </w:r>
      <w:r w:rsidR="00514C75">
        <w:rPr>
          <w:szCs w:val="24"/>
        </w:rPr>
        <w:t>not</w:t>
      </w:r>
      <w:r w:rsidR="00017F4B">
        <w:rPr>
          <w:szCs w:val="24"/>
        </w:rPr>
        <w:t xml:space="preserve"> bas</w:t>
      </w:r>
      <w:r w:rsidR="00AB1DAA">
        <w:rPr>
          <w:szCs w:val="24"/>
        </w:rPr>
        <w:t>e</w:t>
      </w:r>
      <w:r w:rsidR="00017F4B">
        <w:rPr>
          <w:szCs w:val="24"/>
        </w:rPr>
        <w:t xml:space="preserve"> his decision on that </w:t>
      </w:r>
      <w:r w:rsidR="00514C75">
        <w:rPr>
          <w:szCs w:val="24"/>
        </w:rPr>
        <w:t>order</w:t>
      </w:r>
      <w:r w:rsidR="00017F4B">
        <w:rPr>
          <w:szCs w:val="24"/>
        </w:rPr>
        <w:t xml:space="preserve"> and even the </w:t>
      </w:r>
      <w:r w:rsidR="00514C75">
        <w:rPr>
          <w:szCs w:val="24"/>
        </w:rPr>
        <w:t>late</w:t>
      </w:r>
      <w:r w:rsidR="00017F4B">
        <w:rPr>
          <w:szCs w:val="24"/>
        </w:rPr>
        <w:t xml:space="preserve"> respondent’s notice did </w:t>
      </w:r>
      <w:r w:rsidR="00514C75">
        <w:rPr>
          <w:szCs w:val="24"/>
        </w:rPr>
        <w:t>not</w:t>
      </w:r>
      <w:r w:rsidR="00017F4B">
        <w:rPr>
          <w:szCs w:val="24"/>
        </w:rPr>
        <w:t xml:space="preserve"> include an allegation that the </w:t>
      </w:r>
      <w:r w:rsidR="00E57DAB">
        <w:rPr>
          <w:szCs w:val="24"/>
        </w:rPr>
        <w:t>district</w:t>
      </w:r>
      <w:r w:rsidR="00017F4B">
        <w:rPr>
          <w:szCs w:val="24"/>
        </w:rPr>
        <w:t xml:space="preserve"> </w:t>
      </w:r>
      <w:r w:rsidR="00E57DAB">
        <w:rPr>
          <w:szCs w:val="24"/>
        </w:rPr>
        <w:t>judge</w:t>
      </w:r>
      <w:r w:rsidR="00514C75">
        <w:rPr>
          <w:szCs w:val="24"/>
        </w:rPr>
        <w:t>’s</w:t>
      </w:r>
      <w:r w:rsidR="00017F4B">
        <w:rPr>
          <w:szCs w:val="24"/>
        </w:rPr>
        <w:t xml:space="preserve"> decision should be upheld on the basis </w:t>
      </w:r>
      <w:r w:rsidR="00CF2FB8">
        <w:rPr>
          <w:szCs w:val="24"/>
        </w:rPr>
        <w:t>of</w:t>
      </w:r>
      <w:r w:rsidR="00017F4B">
        <w:rPr>
          <w:szCs w:val="24"/>
        </w:rPr>
        <w:t xml:space="preserve"> that </w:t>
      </w:r>
      <w:r w:rsidR="00514C75">
        <w:rPr>
          <w:szCs w:val="24"/>
        </w:rPr>
        <w:t>order</w:t>
      </w:r>
      <w:r w:rsidR="00017F4B">
        <w:rPr>
          <w:szCs w:val="24"/>
        </w:rPr>
        <w:t>.</w:t>
      </w:r>
    </w:p>
    <w:p w14:paraId="46564C68" w14:textId="3441ABED" w:rsidR="006D14E9" w:rsidRPr="006D14E9" w:rsidRDefault="006D14E9" w:rsidP="00AC6944">
      <w:pPr>
        <w:pStyle w:val="ListParagraph"/>
        <w:spacing w:after="240" w:line="240" w:lineRule="auto"/>
        <w:contextualSpacing w:val="0"/>
        <w:jc w:val="both"/>
        <w:rPr>
          <w:b/>
          <w:bCs/>
          <w:i/>
          <w:iCs/>
          <w:szCs w:val="24"/>
        </w:rPr>
      </w:pPr>
      <w:r>
        <w:rPr>
          <w:b/>
          <w:bCs/>
          <w:i/>
          <w:iCs/>
          <w:szCs w:val="24"/>
        </w:rPr>
        <w:t>(</w:t>
      </w:r>
      <w:r w:rsidR="00B15DEB">
        <w:rPr>
          <w:b/>
          <w:bCs/>
          <w:i/>
          <w:iCs/>
          <w:szCs w:val="24"/>
        </w:rPr>
        <w:t>5</w:t>
      </w:r>
      <w:r>
        <w:rPr>
          <w:b/>
          <w:bCs/>
          <w:i/>
          <w:iCs/>
          <w:szCs w:val="24"/>
        </w:rPr>
        <w:t xml:space="preserve">)(a) </w:t>
      </w:r>
      <w:r w:rsidR="00492E54">
        <w:rPr>
          <w:b/>
          <w:bCs/>
          <w:i/>
          <w:iCs/>
          <w:szCs w:val="24"/>
        </w:rPr>
        <w:t xml:space="preserve">Ground 1: </w:t>
      </w:r>
      <w:r w:rsidRPr="006D14E9">
        <w:rPr>
          <w:b/>
          <w:bCs/>
          <w:i/>
          <w:iCs/>
          <w:szCs w:val="24"/>
        </w:rPr>
        <w:t>CPR 44(1)-(3) and 46.9(1) &amp; (3)</w:t>
      </w:r>
    </w:p>
    <w:p w14:paraId="4EAE2556" w14:textId="7F86CC79" w:rsidR="001A5A6F" w:rsidRDefault="001A5A6F" w:rsidP="00AC6944">
      <w:pPr>
        <w:pStyle w:val="ListParagraph"/>
        <w:numPr>
          <w:ilvl w:val="0"/>
          <w:numId w:val="15"/>
        </w:numPr>
        <w:spacing w:after="240" w:line="240" w:lineRule="auto"/>
        <w:contextualSpacing w:val="0"/>
        <w:jc w:val="both"/>
        <w:rPr>
          <w:szCs w:val="24"/>
        </w:rPr>
      </w:pPr>
      <w:r>
        <w:rPr>
          <w:szCs w:val="24"/>
        </w:rPr>
        <w:t>CPR 46.9(1) provides as follows:</w:t>
      </w:r>
    </w:p>
    <w:p w14:paraId="3AEAD1A0" w14:textId="7092D27B" w:rsidR="001A5A6F" w:rsidRDefault="001A5A6F" w:rsidP="00AC6944">
      <w:pPr>
        <w:pStyle w:val="ListParagraph"/>
        <w:spacing w:after="240" w:line="240" w:lineRule="auto"/>
        <w:ind w:left="1440"/>
        <w:contextualSpacing w:val="0"/>
        <w:jc w:val="both"/>
        <w:rPr>
          <w:szCs w:val="24"/>
        </w:rPr>
      </w:pPr>
      <w:r>
        <w:rPr>
          <w:szCs w:val="24"/>
        </w:rPr>
        <w:t>“</w:t>
      </w:r>
      <w:r w:rsidRPr="001A5A6F">
        <w:rPr>
          <w:szCs w:val="24"/>
        </w:rPr>
        <w:t>This rule applies to every assessment of a solicitor’s bill to a client except a bill which is to be paid out of the Community Legal Service Fund under the Legal Aid Act 198</w:t>
      </w:r>
      <w:r>
        <w:rPr>
          <w:szCs w:val="24"/>
        </w:rPr>
        <w:t>8</w:t>
      </w:r>
      <w:r w:rsidRPr="001A5A6F">
        <w:rPr>
          <w:szCs w:val="24"/>
        </w:rPr>
        <w:t xml:space="preserve"> or the Access to Justice Act 1999 or by the Lord Chancellor </w:t>
      </w:r>
      <w:r w:rsidRPr="001A5A6F">
        <w:rPr>
          <w:szCs w:val="24"/>
        </w:rPr>
        <w:lastRenderedPageBreak/>
        <w:t>under Part 1 of the Legal Aid, Sentencing and Punishment of Offenders Act 2012.</w:t>
      </w:r>
      <w:r w:rsidR="00DC0063">
        <w:rPr>
          <w:szCs w:val="24"/>
        </w:rPr>
        <w:t>”</w:t>
      </w:r>
    </w:p>
    <w:p w14:paraId="251F123F" w14:textId="79E49981" w:rsidR="00B675C2" w:rsidRDefault="00A14CC6" w:rsidP="00AC6944">
      <w:pPr>
        <w:pStyle w:val="ListParagraph"/>
        <w:numPr>
          <w:ilvl w:val="0"/>
          <w:numId w:val="15"/>
        </w:numPr>
        <w:spacing w:after="240" w:line="240" w:lineRule="auto"/>
        <w:contextualSpacing w:val="0"/>
        <w:jc w:val="both"/>
        <w:rPr>
          <w:szCs w:val="24"/>
        </w:rPr>
      </w:pPr>
      <w:r>
        <w:rPr>
          <w:szCs w:val="24"/>
        </w:rPr>
        <w:t xml:space="preserve">It followed that </w:t>
      </w:r>
      <w:r w:rsidR="001A5A6F">
        <w:rPr>
          <w:szCs w:val="24"/>
        </w:rPr>
        <w:t xml:space="preserve">CPR 46.9(3) </w:t>
      </w:r>
      <w:r>
        <w:rPr>
          <w:szCs w:val="24"/>
        </w:rPr>
        <w:t xml:space="preserve">applied to the assessment of the Defendant’s costs.  CPR46.9(3) </w:t>
      </w:r>
      <w:r w:rsidR="001A5A6F">
        <w:rPr>
          <w:szCs w:val="24"/>
        </w:rPr>
        <w:t>provides as follows:</w:t>
      </w:r>
    </w:p>
    <w:p w14:paraId="77D35A40" w14:textId="1116498E" w:rsidR="001A5A6F" w:rsidRPr="001A5A6F" w:rsidRDefault="001A5A6F" w:rsidP="00AC6944">
      <w:pPr>
        <w:pStyle w:val="ListParagraph"/>
        <w:spacing w:after="120" w:line="240" w:lineRule="auto"/>
        <w:ind w:left="1440"/>
        <w:contextualSpacing w:val="0"/>
        <w:jc w:val="both"/>
        <w:rPr>
          <w:szCs w:val="24"/>
        </w:rPr>
      </w:pPr>
      <w:r>
        <w:rPr>
          <w:szCs w:val="24"/>
        </w:rPr>
        <w:t>“</w:t>
      </w:r>
      <w:r w:rsidRPr="001A5A6F">
        <w:rPr>
          <w:szCs w:val="24"/>
        </w:rPr>
        <w:t>Subject to paragraph (2), costs are to be assessed on the indemnity basis but are to be presumed –</w:t>
      </w:r>
    </w:p>
    <w:p w14:paraId="0DA880ED" w14:textId="6C5565A8" w:rsidR="001A5A6F" w:rsidRPr="001A5A6F" w:rsidRDefault="001A5A6F" w:rsidP="00AC6944">
      <w:pPr>
        <w:pStyle w:val="ListParagraph"/>
        <w:tabs>
          <w:tab w:val="left" w:pos="2160"/>
        </w:tabs>
        <w:spacing w:after="120" w:line="240" w:lineRule="auto"/>
        <w:ind w:left="2160" w:hanging="720"/>
        <w:contextualSpacing w:val="0"/>
        <w:jc w:val="both"/>
        <w:rPr>
          <w:szCs w:val="24"/>
        </w:rPr>
      </w:pPr>
      <w:r w:rsidRPr="001A5A6F">
        <w:rPr>
          <w:szCs w:val="24"/>
        </w:rPr>
        <w:t xml:space="preserve">(a) </w:t>
      </w:r>
      <w:r>
        <w:rPr>
          <w:szCs w:val="24"/>
        </w:rPr>
        <w:tab/>
      </w:r>
      <w:r w:rsidRPr="001A5A6F">
        <w:rPr>
          <w:szCs w:val="24"/>
        </w:rPr>
        <w:t>to have been reasonably incurred if they were incurred with the express or implied approval of the client;</w:t>
      </w:r>
    </w:p>
    <w:p w14:paraId="46BF66FF" w14:textId="2329D312" w:rsidR="001A5A6F" w:rsidRPr="001A5A6F" w:rsidRDefault="001A5A6F" w:rsidP="00AC6944">
      <w:pPr>
        <w:pStyle w:val="ListParagraph"/>
        <w:tabs>
          <w:tab w:val="left" w:pos="2160"/>
        </w:tabs>
        <w:spacing w:after="120" w:line="240" w:lineRule="auto"/>
        <w:ind w:left="2160" w:hanging="720"/>
        <w:contextualSpacing w:val="0"/>
        <w:jc w:val="both"/>
        <w:rPr>
          <w:szCs w:val="24"/>
        </w:rPr>
      </w:pPr>
      <w:r w:rsidRPr="001A5A6F">
        <w:rPr>
          <w:szCs w:val="24"/>
        </w:rPr>
        <w:t xml:space="preserve">(b) </w:t>
      </w:r>
      <w:r>
        <w:rPr>
          <w:szCs w:val="24"/>
        </w:rPr>
        <w:tab/>
      </w:r>
      <w:r w:rsidRPr="001A5A6F">
        <w:rPr>
          <w:szCs w:val="24"/>
        </w:rPr>
        <w:t>to be reasonable in amount if their amount was expressly or impliedly approved by the client;</w:t>
      </w:r>
    </w:p>
    <w:p w14:paraId="045F0E7B" w14:textId="169328E4" w:rsidR="001A5A6F" w:rsidRPr="001A5A6F" w:rsidRDefault="001A5A6F" w:rsidP="00AC6944">
      <w:pPr>
        <w:pStyle w:val="ListParagraph"/>
        <w:tabs>
          <w:tab w:val="left" w:pos="2160"/>
        </w:tabs>
        <w:spacing w:after="120" w:line="240" w:lineRule="auto"/>
        <w:ind w:left="2160" w:hanging="720"/>
        <w:contextualSpacing w:val="0"/>
        <w:jc w:val="both"/>
        <w:rPr>
          <w:szCs w:val="24"/>
        </w:rPr>
      </w:pPr>
      <w:r w:rsidRPr="001A5A6F">
        <w:rPr>
          <w:szCs w:val="24"/>
        </w:rPr>
        <w:t xml:space="preserve">(c) </w:t>
      </w:r>
      <w:r>
        <w:rPr>
          <w:szCs w:val="24"/>
        </w:rPr>
        <w:tab/>
      </w:r>
      <w:r w:rsidRPr="001A5A6F">
        <w:rPr>
          <w:szCs w:val="24"/>
        </w:rPr>
        <w:t>to have been unreasonably incurred if –</w:t>
      </w:r>
    </w:p>
    <w:p w14:paraId="22830D46" w14:textId="525F2AE7" w:rsidR="001A5A6F" w:rsidRPr="001A5A6F" w:rsidRDefault="001A5A6F" w:rsidP="00AC6944">
      <w:pPr>
        <w:pStyle w:val="ListParagraph"/>
        <w:tabs>
          <w:tab w:val="left" w:pos="2880"/>
        </w:tabs>
        <w:spacing w:after="120" w:line="240" w:lineRule="auto"/>
        <w:ind w:left="2880" w:hanging="720"/>
        <w:contextualSpacing w:val="0"/>
        <w:jc w:val="both"/>
        <w:rPr>
          <w:szCs w:val="24"/>
        </w:rPr>
      </w:pPr>
      <w:r w:rsidRPr="001A5A6F">
        <w:rPr>
          <w:szCs w:val="24"/>
        </w:rPr>
        <w:t xml:space="preserve">(i) </w:t>
      </w:r>
      <w:r>
        <w:rPr>
          <w:szCs w:val="24"/>
        </w:rPr>
        <w:tab/>
      </w:r>
      <w:r w:rsidRPr="001A5A6F">
        <w:rPr>
          <w:szCs w:val="24"/>
        </w:rPr>
        <w:t>they are of an unusual nature or amount; and</w:t>
      </w:r>
    </w:p>
    <w:p w14:paraId="27299C67" w14:textId="27FDC719" w:rsidR="001A5A6F" w:rsidRDefault="001A5A6F" w:rsidP="00AC6944">
      <w:pPr>
        <w:pStyle w:val="ListParagraph"/>
        <w:tabs>
          <w:tab w:val="left" w:pos="2880"/>
        </w:tabs>
        <w:spacing w:after="240" w:line="240" w:lineRule="auto"/>
        <w:ind w:left="2880" w:hanging="720"/>
        <w:contextualSpacing w:val="0"/>
        <w:jc w:val="both"/>
        <w:rPr>
          <w:szCs w:val="24"/>
        </w:rPr>
      </w:pPr>
      <w:r w:rsidRPr="001A5A6F">
        <w:rPr>
          <w:szCs w:val="24"/>
        </w:rPr>
        <w:t xml:space="preserve">(ii) </w:t>
      </w:r>
      <w:r>
        <w:rPr>
          <w:szCs w:val="24"/>
        </w:rPr>
        <w:tab/>
      </w:r>
      <w:r w:rsidRPr="001A5A6F">
        <w:rPr>
          <w:szCs w:val="24"/>
        </w:rPr>
        <w:t>the solicitor did not tell the client that as a result the costs might not be recovered from the other party.</w:t>
      </w:r>
      <w:r>
        <w:rPr>
          <w:szCs w:val="24"/>
        </w:rPr>
        <w:t>”</w:t>
      </w:r>
    </w:p>
    <w:p w14:paraId="391118C8" w14:textId="32CD5E5F" w:rsidR="001A5A6F" w:rsidRDefault="00A14CC6" w:rsidP="00AC6944">
      <w:pPr>
        <w:pStyle w:val="ListParagraph"/>
        <w:numPr>
          <w:ilvl w:val="0"/>
          <w:numId w:val="15"/>
        </w:numPr>
        <w:spacing w:after="240" w:line="240" w:lineRule="auto"/>
        <w:contextualSpacing w:val="0"/>
        <w:jc w:val="both"/>
        <w:rPr>
          <w:szCs w:val="24"/>
        </w:rPr>
      </w:pPr>
      <w:r>
        <w:rPr>
          <w:szCs w:val="24"/>
        </w:rPr>
        <w:t xml:space="preserve">Thus, CPR 46.9(3) required that the Defendant’s costs be assessed on the indemnity basis.  </w:t>
      </w:r>
      <w:r w:rsidR="008163C2">
        <w:rPr>
          <w:szCs w:val="24"/>
        </w:rPr>
        <w:t>What that means is set out in CPR 44.3(1)</w:t>
      </w:r>
      <w:r w:rsidR="008101DF">
        <w:rPr>
          <w:szCs w:val="24"/>
        </w:rPr>
        <w:t>-</w:t>
      </w:r>
      <w:r w:rsidR="008163C2">
        <w:rPr>
          <w:szCs w:val="24"/>
        </w:rPr>
        <w:t>(3), which provide as follows:</w:t>
      </w:r>
    </w:p>
    <w:p w14:paraId="1AD4B4C8" w14:textId="006491D3" w:rsidR="008101DF" w:rsidRPr="008101DF" w:rsidRDefault="008101DF" w:rsidP="00AC6944">
      <w:pPr>
        <w:pStyle w:val="ListParagraph"/>
        <w:spacing w:after="120" w:line="240" w:lineRule="auto"/>
        <w:ind w:left="1440"/>
        <w:contextualSpacing w:val="0"/>
        <w:jc w:val="both"/>
        <w:rPr>
          <w:szCs w:val="24"/>
        </w:rPr>
      </w:pPr>
      <w:r>
        <w:rPr>
          <w:szCs w:val="24"/>
        </w:rPr>
        <w:t>“</w:t>
      </w:r>
      <w:r w:rsidRPr="008101DF">
        <w:rPr>
          <w:szCs w:val="24"/>
        </w:rPr>
        <w:t>(1) Where the court is to assess the amount of costs (whether by summary or detailed assessment) it will assess those costs –</w:t>
      </w:r>
    </w:p>
    <w:p w14:paraId="355E95C2" w14:textId="78512ADA" w:rsidR="008101DF" w:rsidRPr="008101DF" w:rsidRDefault="008101DF" w:rsidP="00AC6944">
      <w:pPr>
        <w:pStyle w:val="ListParagraph"/>
        <w:spacing w:after="120" w:line="240" w:lineRule="auto"/>
        <w:ind w:left="1440" w:firstLine="720"/>
        <w:contextualSpacing w:val="0"/>
        <w:jc w:val="both"/>
        <w:rPr>
          <w:szCs w:val="24"/>
        </w:rPr>
      </w:pPr>
      <w:r w:rsidRPr="008101DF">
        <w:rPr>
          <w:szCs w:val="24"/>
        </w:rPr>
        <w:t xml:space="preserve">(a) </w:t>
      </w:r>
      <w:r>
        <w:rPr>
          <w:szCs w:val="24"/>
        </w:rPr>
        <w:tab/>
      </w:r>
      <w:r w:rsidRPr="008101DF">
        <w:rPr>
          <w:szCs w:val="24"/>
        </w:rPr>
        <w:t>on the standard basis; or</w:t>
      </w:r>
    </w:p>
    <w:p w14:paraId="156F52D4" w14:textId="5CE5E9E0" w:rsidR="008101DF" w:rsidRPr="008101DF" w:rsidRDefault="008101DF" w:rsidP="00AC6944">
      <w:pPr>
        <w:pStyle w:val="ListParagraph"/>
        <w:spacing w:after="120" w:line="240" w:lineRule="auto"/>
        <w:ind w:left="1440" w:firstLine="720"/>
        <w:contextualSpacing w:val="0"/>
        <w:jc w:val="both"/>
        <w:rPr>
          <w:szCs w:val="24"/>
        </w:rPr>
      </w:pPr>
      <w:r w:rsidRPr="008101DF">
        <w:rPr>
          <w:szCs w:val="24"/>
        </w:rPr>
        <w:t xml:space="preserve">(b) </w:t>
      </w:r>
      <w:r>
        <w:rPr>
          <w:szCs w:val="24"/>
        </w:rPr>
        <w:tab/>
      </w:r>
      <w:r w:rsidRPr="008101DF">
        <w:rPr>
          <w:szCs w:val="24"/>
        </w:rPr>
        <w:t>on the indemnity basis,</w:t>
      </w:r>
    </w:p>
    <w:p w14:paraId="48E2CC99" w14:textId="0BAA2F9E" w:rsidR="008101DF" w:rsidRDefault="008101DF" w:rsidP="00AC6944">
      <w:pPr>
        <w:pStyle w:val="ListParagraph"/>
        <w:spacing w:after="120" w:line="240" w:lineRule="auto"/>
        <w:ind w:left="1440"/>
        <w:contextualSpacing w:val="0"/>
        <w:jc w:val="both"/>
        <w:rPr>
          <w:szCs w:val="24"/>
        </w:rPr>
      </w:pPr>
      <w:r w:rsidRPr="008101DF">
        <w:rPr>
          <w:szCs w:val="24"/>
        </w:rPr>
        <w:t>but the court will not in either case allow costs which have been unreasonably incurred or are unreasonable in amount.</w:t>
      </w:r>
    </w:p>
    <w:p w14:paraId="108F0A0C" w14:textId="77777777" w:rsidR="008101DF" w:rsidRPr="008101DF" w:rsidRDefault="008101DF" w:rsidP="00AC6944">
      <w:pPr>
        <w:pStyle w:val="ListParagraph"/>
        <w:spacing w:after="120" w:line="240" w:lineRule="auto"/>
        <w:ind w:left="1440"/>
        <w:contextualSpacing w:val="0"/>
        <w:jc w:val="both"/>
        <w:rPr>
          <w:szCs w:val="24"/>
        </w:rPr>
      </w:pPr>
      <w:r w:rsidRPr="008101DF">
        <w:rPr>
          <w:szCs w:val="24"/>
        </w:rPr>
        <w:t>(2) Where the amount of costs is to be assessed on the standard basis, the court will –</w:t>
      </w:r>
    </w:p>
    <w:p w14:paraId="2866101F" w14:textId="56D6331B" w:rsidR="008101DF" w:rsidRPr="008101DF" w:rsidRDefault="008101DF" w:rsidP="00AC6944">
      <w:pPr>
        <w:pStyle w:val="ListParagraph"/>
        <w:spacing w:after="120" w:line="240" w:lineRule="auto"/>
        <w:ind w:left="2880" w:hanging="720"/>
        <w:contextualSpacing w:val="0"/>
        <w:jc w:val="both"/>
        <w:rPr>
          <w:szCs w:val="24"/>
        </w:rPr>
      </w:pPr>
      <w:r w:rsidRPr="008101DF">
        <w:rPr>
          <w:szCs w:val="24"/>
        </w:rPr>
        <w:t xml:space="preserve">(a) </w:t>
      </w:r>
      <w:r w:rsidR="00541E89">
        <w:rPr>
          <w:szCs w:val="24"/>
        </w:rPr>
        <w:tab/>
      </w:r>
      <w:r w:rsidRPr="008101DF">
        <w:rPr>
          <w:szCs w:val="24"/>
        </w:rPr>
        <w:t>only allow costs which are proportionate to the matters in issue. Costs which are disproportionate in amount may be disallowed or reduced even if they were reasonably or necessarily incurred; and</w:t>
      </w:r>
    </w:p>
    <w:p w14:paraId="1AF1705B" w14:textId="72737004" w:rsidR="008101DF" w:rsidRPr="008101DF" w:rsidRDefault="008101DF" w:rsidP="00AC6944">
      <w:pPr>
        <w:pStyle w:val="ListParagraph"/>
        <w:spacing w:after="120" w:line="240" w:lineRule="auto"/>
        <w:ind w:left="2880" w:hanging="720"/>
        <w:contextualSpacing w:val="0"/>
        <w:jc w:val="both"/>
        <w:rPr>
          <w:szCs w:val="24"/>
        </w:rPr>
      </w:pPr>
      <w:r w:rsidRPr="008101DF">
        <w:rPr>
          <w:szCs w:val="24"/>
        </w:rPr>
        <w:t xml:space="preserve">(b) </w:t>
      </w:r>
      <w:r w:rsidR="00541E89">
        <w:rPr>
          <w:szCs w:val="24"/>
        </w:rPr>
        <w:tab/>
      </w:r>
      <w:r w:rsidRPr="008101DF">
        <w:rPr>
          <w:szCs w:val="24"/>
        </w:rPr>
        <w:t>resolve any doubt which it may have as to whether costs were reasonably and proportionately incurred or were reasonable and proportionate in amount in favour of the paying party.</w:t>
      </w:r>
    </w:p>
    <w:p w14:paraId="2F27BE2C" w14:textId="7F2068D5" w:rsidR="008163C2" w:rsidRDefault="008101DF" w:rsidP="00AC6944">
      <w:pPr>
        <w:pStyle w:val="ListParagraph"/>
        <w:spacing w:after="240" w:line="240" w:lineRule="auto"/>
        <w:ind w:left="1440"/>
        <w:contextualSpacing w:val="0"/>
        <w:jc w:val="both"/>
        <w:rPr>
          <w:szCs w:val="24"/>
        </w:rPr>
      </w:pPr>
      <w:r w:rsidRPr="008101DF">
        <w:rPr>
          <w:szCs w:val="24"/>
        </w:rPr>
        <w:t>(3) Where the amount of costs is to be assessed on the indemnity basis, the court will resolve any doubt which it may have as to whether costs were reasonably incurred or were reasonable in amount in favour of the receiving party.</w:t>
      </w:r>
      <w:r>
        <w:rPr>
          <w:szCs w:val="24"/>
        </w:rPr>
        <w:t>”</w:t>
      </w:r>
    </w:p>
    <w:p w14:paraId="119311B8" w14:textId="3CEE9FC9" w:rsidR="00541E89" w:rsidRDefault="00541E89" w:rsidP="00AC6944">
      <w:pPr>
        <w:pStyle w:val="ListParagraph"/>
        <w:numPr>
          <w:ilvl w:val="0"/>
          <w:numId w:val="15"/>
        </w:numPr>
        <w:spacing w:after="240" w:line="240" w:lineRule="auto"/>
        <w:contextualSpacing w:val="0"/>
        <w:jc w:val="both"/>
        <w:rPr>
          <w:szCs w:val="24"/>
        </w:rPr>
      </w:pPr>
      <w:r>
        <w:rPr>
          <w:szCs w:val="24"/>
        </w:rPr>
        <w:t>It is important to remember that these provisions form the context for the operation of sub-paragraphs (a)</w:t>
      </w:r>
      <w:r w:rsidR="006D14E9">
        <w:rPr>
          <w:szCs w:val="24"/>
        </w:rPr>
        <w:t xml:space="preserve">, </w:t>
      </w:r>
      <w:r>
        <w:rPr>
          <w:szCs w:val="24"/>
        </w:rPr>
        <w:t xml:space="preserve">(b) </w:t>
      </w:r>
      <w:r w:rsidR="006D14E9">
        <w:rPr>
          <w:szCs w:val="24"/>
        </w:rPr>
        <w:t xml:space="preserve">and (c) </w:t>
      </w:r>
      <w:r>
        <w:rPr>
          <w:szCs w:val="24"/>
        </w:rPr>
        <w:t>of CPR 46.9(</w:t>
      </w:r>
      <w:r w:rsidR="006D14E9">
        <w:rPr>
          <w:szCs w:val="24"/>
        </w:rPr>
        <w:t>3</w:t>
      </w:r>
      <w:r>
        <w:rPr>
          <w:szCs w:val="24"/>
        </w:rPr>
        <w:t>).  The Defendant’s costs were to be assessed on the indemnity basis, which meant that:</w:t>
      </w:r>
    </w:p>
    <w:p w14:paraId="56957F41" w14:textId="5B57EAE2" w:rsidR="00541E89" w:rsidRDefault="00541E89" w:rsidP="00AC6944">
      <w:pPr>
        <w:pStyle w:val="ListParagraph"/>
        <w:numPr>
          <w:ilvl w:val="1"/>
          <w:numId w:val="15"/>
        </w:numPr>
        <w:spacing w:after="240" w:line="240" w:lineRule="auto"/>
        <w:contextualSpacing w:val="0"/>
        <w:jc w:val="both"/>
        <w:rPr>
          <w:szCs w:val="24"/>
        </w:rPr>
      </w:pPr>
      <w:r>
        <w:rPr>
          <w:szCs w:val="24"/>
        </w:rPr>
        <w:t>the court would not allow costs which had been unreasonably incurred or were unreasonable in amount</w:t>
      </w:r>
      <w:r w:rsidR="00AD4363">
        <w:rPr>
          <w:szCs w:val="24"/>
        </w:rPr>
        <w:t>;</w:t>
      </w:r>
      <w:r>
        <w:rPr>
          <w:szCs w:val="24"/>
        </w:rPr>
        <w:t xml:space="preserve"> but </w:t>
      </w:r>
    </w:p>
    <w:p w14:paraId="3730B172" w14:textId="70072EBC" w:rsidR="00541E89" w:rsidRDefault="00541E89" w:rsidP="00AC6944">
      <w:pPr>
        <w:pStyle w:val="ListParagraph"/>
        <w:numPr>
          <w:ilvl w:val="1"/>
          <w:numId w:val="15"/>
        </w:numPr>
        <w:spacing w:after="240" w:line="240" w:lineRule="auto"/>
        <w:contextualSpacing w:val="0"/>
        <w:jc w:val="both"/>
        <w:rPr>
          <w:szCs w:val="24"/>
        </w:rPr>
      </w:pPr>
      <w:r>
        <w:rPr>
          <w:szCs w:val="24"/>
        </w:rPr>
        <w:lastRenderedPageBreak/>
        <w:t>the court would resolve any doubt which it may have about whether cost</w:t>
      </w:r>
      <w:r w:rsidR="00514C75">
        <w:rPr>
          <w:szCs w:val="24"/>
        </w:rPr>
        <w:t>s</w:t>
      </w:r>
      <w:r>
        <w:rPr>
          <w:szCs w:val="24"/>
        </w:rPr>
        <w:t xml:space="preserve"> were reasonably incurred or were reasonable in amount in favour of the Defendant.</w:t>
      </w:r>
    </w:p>
    <w:p w14:paraId="198F806E" w14:textId="71F0A7A8" w:rsidR="006D14E9" w:rsidRDefault="006D14E9" w:rsidP="00AC6944">
      <w:pPr>
        <w:pStyle w:val="ListParagraph"/>
        <w:numPr>
          <w:ilvl w:val="0"/>
          <w:numId w:val="15"/>
        </w:numPr>
        <w:spacing w:after="240" w:line="240" w:lineRule="auto"/>
        <w:contextualSpacing w:val="0"/>
        <w:jc w:val="both"/>
        <w:rPr>
          <w:szCs w:val="24"/>
        </w:rPr>
      </w:pPr>
      <w:r>
        <w:rPr>
          <w:szCs w:val="24"/>
        </w:rPr>
        <w:t xml:space="preserve">It is possible for the court to assess costs on the indemnity basis, and to decide for that purpose </w:t>
      </w:r>
      <w:r w:rsidR="00514C75">
        <w:rPr>
          <w:szCs w:val="24"/>
        </w:rPr>
        <w:t>whether</w:t>
      </w:r>
      <w:r>
        <w:rPr>
          <w:szCs w:val="24"/>
        </w:rPr>
        <w:t xml:space="preserve"> costs claimed were </w:t>
      </w:r>
      <w:r w:rsidR="00514C75">
        <w:rPr>
          <w:szCs w:val="24"/>
        </w:rPr>
        <w:t>unreasonably</w:t>
      </w:r>
      <w:r>
        <w:rPr>
          <w:szCs w:val="24"/>
        </w:rPr>
        <w:t xml:space="preserve"> incurred or were unreasonable in amount, without recourse to any of the </w:t>
      </w:r>
      <w:r w:rsidR="00514C75">
        <w:rPr>
          <w:szCs w:val="24"/>
        </w:rPr>
        <w:t>presumptions</w:t>
      </w:r>
      <w:r>
        <w:rPr>
          <w:szCs w:val="24"/>
        </w:rPr>
        <w:t xml:space="preserve"> provided for in sub-paragraphs (a), (b) and (c) of CPR 46.9(3).  </w:t>
      </w:r>
      <w:r w:rsidR="00514C75">
        <w:rPr>
          <w:szCs w:val="24"/>
        </w:rPr>
        <w:t>Indeed</w:t>
      </w:r>
      <w:r>
        <w:rPr>
          <w:szCs w:val="24"/>
        </w:rPr>
        <w:t xml:space="preserve">, that is what the </w:t>
      </w:r>
      <w:r w:rsidR="00AB1DAA">
        <w:rPr>
          <w:szCs w:val="24"/>
        </w:rPr>
        <w:t>d</w:t>
      </w:r>
      <w:r w:rsidR="00E57DAB">
        <w:rPr>
          <w:szCs w:val="24"/>
        </w:rPr>
        <w:t>istrict</w:t>
      </w:r>
      <w:r>
        <w:rPr>
          <w:szCs w:val="24"/>
        </w:rPr>
        <w:t xml:space="preserve"> </w:t>
      </w:r>
      <w:r w:rsidR="00AB1DAA">
        <w:rPr>
          <w:szCs w:val="24"/>
        </w:rPr>
        <w:t>j</w:t>
      </w:r>
      <w:r w:rsidR="00E57DAB">
        <w:rPr>
          <w:szCs w:val="24"/>
        </w:rPr>
        <w:t>udge</w:t>
      </w:r>
      <w:r>
        <w:rPr>
          <w:szCs w:val="24"/>
        </w:rPr>
        <w:t xml:space="preserve"> appears to </w:t>
      </w:r>
      <w:r w:rsidR="00514C75">
        <w:rPr>
          <w:szCs w:val="24"/>
        </w:rPr>
        <w:t>have</w:t>
      </w:r>
      <w:r>
        <w:rPr>
          <w:szCs w:val="24"/>
        </w:rPr>
        <w:t xml:space="preserve"> done in his decision on Point 3 in the “</w:t>
      </w:r>
      <w:r w:rsidR="00AB594C">
        <w:rPr>
          <w:szCs w:val="24"/>
        </w:rPr>
        <w:t>o</w:t>
      </w:r>
      <w:r>
        <w:rPr>
          <w:szCs w:val="24"/>
        </w:rPr>
        <w:t xml:space="preserve">n </w:t>
      </w:r>
      <w:r w:rsidR="00AB594C">
        <w:rPr>
          <w:szCs w:val="24"/>
        </w:rPr>
        <w:t>p</w:t>
      </w:r>
      <w:r>
        <w:rPr>
          <w:szCs w:val="24"/>
        </w:rPr>
        <w:t>ap</w:t>
      </w:r>
      <w:r w:rsidR="00AB594C">
        <w:rPr>
          <w:szCs w:val="24"/>
        </w:rPr>
        <w:t>e</w:t>
      </w:r>
      <w:r>
        <w:rPr>
          <w:szCs w:val="24"/>
        </w:rPr>
        <w:t>r” assessment</w:t>
      </w:r>
      <w:r w:rsidR="00CC5D6E">
        <w:rPr>
          <w:szCs w:val="24"/>
        </w:rPr>
        <w:t xml:space="preserve">.  The </w:t>
      </w:r>
      <w:r w:rsidR="00AB1DAA">
        <w:rPr>
          <w:szCs w:val="24"/>
        </w:rPr>
        <w:t>d</w:t>
      </w:r>
      <w:r w:rsidR="00E57DAB">
        <w:rPr>
          <w:szCs w:val="24"/>
        </w:rPr>
        <w:t>istrict</w:t>
      </w:r>
      <w:r w:rsidR="00CC5D6E">
        <w:rPr>
          <w:szCs w:val="24"/>
        </w:rPr>
        <w:t xml:space="preserve"> </w:t>
      </w:r>
      <w:r w:rsidR="00AB1DAA">
        <w:rPr>
          <w:szCs w:val="24"/>
        </w:rPr>
        <w:t>j</w:t>
      </w:r>
      <w:r w:rsidR="00E57DAB">
        <w:rPr>
          <w:szCs w:val="24"/>
        </w:rPr>
        <w:t>udge</w:t>
      </w:r>
      <w:r w:rsidR="00CC5D6E">
        <w:rPr>
          <w:szCs w:val="24"/>
        </w:rPr>
        <w:t xml:space="preserve"> said that, “9 hrs x £120 would seem reasonable.”  He was, in effect, saying that:</w:t>
      </w:r>
    </w:p>
    <w:p w14:paraId="68266AFC" w14:textId="797DE10B" w:rsidR="00CC5D6E" w:rsidRDefault="00CC5D6E" w:rsidP="00AC6944">
      <w:pPr>
        <w:pStyle w:val="ListParagraph"/>
        <w:numPr>
          <w:ilvl w:val="1"/>
          <w:numId w:val="15"/>
        </w:numPr>
        <w:spacing w:after="240" w:line="240" w:lineRule="auto"/>
        <w:contextualSpacing w:val="0"/>
        <w:jc w:val="both"/>
        <w:rPr>
          <w:szCs w:val="24"/>
        </w:rPr>
      </w:pPr>
      <w:r>
        <w:rPr>
          <w:szCs w:val="24"/>
        </w:rPr>
        <w:t>any costs relating to more than 9 hours’ work were unreasonable; and</w:t>
      </w:r>
    </w:p>
    <w:p w14:paraId="6D2F65D2" w14:textId="705F40C9" w:rsidR="00CC5D6E" w:rsidRDefault="00CC5D6E" w:rsidP="00AC6944">
      <w:pPr>
        <w:pStyle w:val="ListParagraph"/>
        <w:numPr>
          <w:ilvl w:val="1"/>
          <w:numId w:val="15"/>
        </w:numPr>
        <w:spacing w:after="240" w:line="240" w:lineRule="auto"/>
        <w:contextualSpacing w:val="0"/>
        <w:jc w:val="both"/>
        <w:rPr>
          <w:szCs w:val="24"/>
        </w:rPr>
      </w:pPr>
      <w:r>
        <w:rPr>
          <w:szCs w:val="24"/>
        </w:rPr>
        <w:t xml:space="preserve">any costs claimed at a rate </w:t>
      </w:r>
      <w:r w:rsidR="00CF2FB8">
        <w:rPr>
          <w:szCs w:val="24"/>
        </w:rPr>
        <w:t>of</w:t>
      </w:r>
      <w:r>
        <w:rPr>
          <w:szCs w:val="24"/>
        </w:rPr>
        <w:t xml:space="preserve"> more than £120 were unreasonable in amount.</w:t>
      </w:r>
    </w:p>
    <w:p w14:paraId="09311147" w14:textId="12D57B32" w:rsidR="00CC5D6E" w:rsidRPr="00CC5D6E" w:rsidRDefault="00CC5D6E" w:rsidP="00AC6944">
      <w:pPr>
        <w:spacing w:after="240" w:line="240" w:lineRule="auto"/>
        <w:ind w:left="720"/>
        <w:jc w:val="both"/>
        <w:rPr>
          <w:b/>
          <w:bCs/>
          <w:i/>
          <w:iCs/>
          <w:szCs w:val="24"/>
        </w:rPr>
      </w:pPr>
      <w:r>
        <w:rPr>
          <w:b/>
          <w:bCs/>
          <w:i/>
          <w:iCs/>
          <w:szCs w:val="24"/>
        </w:rPr>
        <w:t>(</w:t>
      </w:r>
      <w:r w:rsidR="00B15DEB">
        <w:rPr>
          <w:b/>
          <w:bCs/>
          <w:i/>
          <w:iCs/>
          <w:szCs w:val="24"/>
        </w:rPr>
        <w:t>5</w:t>
      </w:r>
      <w:r>
        <w:rPr>
          <w:b/>
          <w:bCs/>
          <w:i/>
          <w:iCs/>
          <w:szCs w:val="24"/>
        </w:rPr>
        <w:t xml:space="preserve">)(b) </w:t>
      </w:r>
      <w:r w:rsidR="00492E54">
        <w:rPr>
          <w:b/>
          <w:bCs/>
          <w:i/>
          <w:iCs/>
          <w:szCs w:val="24"/>
        </w:rPr>
        <w:t xml:space="preserve">Ground 1: </w:t>
      </w:r>
      <w:r>
        <w:rPr>
          <w:b/>
          <w:bCs/>
          <w:i/>
          <w:iCs/>
          <w:szCs w:val="24"/>
        </w:rPr>
        <w:t>CPR 46.9</w:t>
      </w:r>
      <w:r w:rsidR="00B15DEB">
        <w:rPr>
          <w:b/>
          <w:bCs/>
          <w:i/>
          <w:iCs/>
          <w:szCs w:val="24"/>
        </w:rPr>
        <w:t>(3)</w:t>
      </w:r>
      <w:r>
        <w:rPr>
          <w:b/>
          <w:bCs/>
          <w:i/>
          <w:iCs/>
          <w:szCs w:val="24"/>
        </w:rPr>
        <w:t>(a) &amp; (b)</w:t>
      </w:r>
    </w:p>
    <w:p w14:paraId="7C9D3FFA" w14:textId="50598BD5" w:rsidR="00CC5D6E" w:rsidRDefault="00DB036D" w:rsidP="00AC6944">
      <w:pPr>
        <w:pStyle w:val="ListParagraph"/>
        <w:numPr>
          <w:ilvl w:val="0"/>
          <w:numId w:val="15"/>
        </w:numPr>
        <w:spacing w:after="240" w:line="240" w:lineRule="auto"/>
        <w:contextualSpacing w:val="0"/>
        <w:jc w:val="both"/>
        <w:rPr>
          <w:szCs w:val="24"/>
        </w:rPr>
      </w:pPr>
      <w:r>
        <w:rPr>
          <w:szCs w:val="24"/>
        </w:rPr>
        <w:t xml:space="preserve">Mr Marven submitted </w:t>
      </w:r>
      <w:r w:rsidR="00CC5D6E" w:rsidRPr="00DB036D">
        <w:rPr>
          <w:szCs w:val="24"/>
        </w:rPr>
        <w:t xml:space="preserve">that the </w:t>
      </w:r>
      <w:r w:rsidR="00AB1DAA">
        <w:rPr>
          <w:szCs w:val="24"/>
        </w:rPr>
        <w:t>d</w:t>
      </w:r>
      <w:r w:rsidR="00E57DAB">
        <w:rPr>
          <w:szCs w:val="24"/>
        </w:rPr>
        <w:t>istrict</w:t>
      </w:r>
      <w:r w:rsidR="00CC5D6E" w:rsidRPr="00DB036D">
        <w:rPr>
          <w:szCs w:val="24"/>
        </w:rPr>
        <w:t xml:space="preserve"> </w:t>
      </w:r>
      <w:r w:rsidR="00AB1DAA">
        <w:rPr>
          <w:szCs w:val="24"/>
        </w:rPr>
        <w:t>j</w:t>
      </w:r>
      <w:r w:rsidR="00E57DAB">
        <w:rPr>
          <w:szCs w:val="24"/>
        </w:rPr>
        <w:t>udge</w:t>
      </w:r>
      <w:r w:rsidR="00CC5D6E" w:rsidRPr="00DB036D">
        <w:rPr>
          <w:szCs w:val="24"/>
        </w:rPr>
        <w:t xml:space="preserve"> should have found that the presumption</w:t>
      </w:r>
      <w:r>
        <w:rPr>
          <w:szCs w:val="24"/>
        </w:rPr>
        <w:t>s</w:t>
      </w:r>
      <w:r w:rsidR="00CC5D6E" w:rsidRPr="00DB036D">
        <w:rPr>
          <w:szCs w:val="24"/>
        </w:rPr>
        <w:t xml:space="preserve"> provided for in sub-paragraph</w:t>
      </w:r>
      <w:r w:rsidR="00B01F52">
        <w:rPr>
          <w:szCs w:val="24"/>
        </w:rPr>
        <w:t>s</w:t>
      </w:r>
      <w:r w:rsidR="00CC5D6E" w:rsidRPr="00DB036D">
        <w:rPr>
          <w:szCs w:val="24"/>
        </w:rPr>
        <w:t xml:space="preserve"> (a) and (b) of CPR 46.9 applied in the present case.</w:t>
      </w:r>
      <w:r>
        <w:rPr>
          <w:szCs w:val="24"/>
        </w:rPr>
        <w:t xml:space="preserve">  He did so, primarily, by submitting that the </w:t>
      </w:r>
      <w:r w:rsidR="00514C75">
        <w:rPr>
          <w:szCs w:val="24"/>
        </w:rPr>
        <w:t>Claimant</w:t>
      </w:r>
      <w:r>
        <w:rPr>
          <w:szCs w:val="24"/>
        </w:rPr>
        <w:t xml:space="preserve"> had agreed that </w:t>
      </w:r>
      <w:r w:rsidR="00A83FDD">
        <w:rPr>
          <w:szCs w:val="24"/>
        </w:rPr>
        <w:t xml:space="preserve">at most </w:t>
      </w:r>
      <w:r>
        <w:rPr>
          <w:szCs w:val="24"/>
        </w:rPr>
        <w:t>25% of her damages could be paid to the Defendant.</w:t>
      </w:r>
      <w:r w:rsidR="00A83FDD">
        <w:rPr>
          <w:szCs w:val="24"/>
        </w:rPr>
        <w:t xml:space="preserve">  However, I </w:t>
      </w:r>
      <w:r w:rsidR="00514C75">
        <w:rPr>
          <w:szCs w:val="24"/>
        </w:rPr>
        <w:t>have</w:t>
      </w:r>
      <w:r w:rsidR="00A83FDD">
        <w:rPr>
          <w:szCs w:val="24"/>
        </w:rPr>
        <w:t xml:space="preserve"> already held that there was no contractual agreement to this effect.</w:t>
      </w:r>
    </w:p>
    <w:p w14:paraId="42400F98" w14:textId="74AC7944" w:rsidR="00A83FDD" w:rsidRDefault="00A83FDD" w:rsidP="00AC6944">
      <w:pPr>
        <w:pStyle w:val="ListParagraph"/>
        <w:numPr>
          <w:ilvl w:val="0"/>
          <w:numId w:val="15"/>
        </w:numPr>
        <w:spacing w:after="240" w:line="240" w:lineRule="auto"/>
        <w:contextualSpacing w:val="0"/>
        <w:jc w:val="both"/>
        <w:rPr>
          <w:szCs w:val="24"/>
        </w:rPr>
      </w:pPr>
      <w:r>
        <w:rPr>
          <w:szCs w:val="24"/>
        </w:rPr>
        <w:t xml:space="preserve">In any event, I doubt whether an agreement to a cap on </w:t>
      </w:r>
      <w:r w:rsidR="00756A52">
        <w:rPr>
          <w:szCs w:val="24"/>
        </w:rPr>
        <w:t>the amount of</w:t>
      </w:r>
      <w:r>
        <w:rPr>
          <w:szCs w:val="24"/>
        </w:rPr>
        <w:t xml:space="preserve"> cost</w:t>
      </w:r>
      <w:r w:rsidR="00756A52">
        <w:rPr>
          <w:szCs w:val="24"/>
        </w:rPr>
        <w:t>s</w:t>
      </w:r>
      <w:r>
        <w:rPr>
          <w:szCs w:val="24"/>
        </w:rPr>
        <w:t xml:space="preserve"> </w:t>
      </w:r>
      <w:r w:rsidR="00C00750">
        <w:rPr>
          <w:szCs w:val="24"/>
        </w:rPr>
        <w:t xml:space="preserve">recoverable </w:t>
      </w:r>
      <w:r w:rsidR="004A7F5F">
        <w:rPr>
          <w:szCs w:val="24"/>
        </w:rPr>
        <w:t xml:space="preserve">by the Defendant from the Claimant </w:t>
      </w:r>
      <w:r>
        <w:rPr>
          <w:szCs w:val="24"/>
        </w:rPr>
        <w:t>would fall within the scope of either sub-</w:t>
      </w:r>
      <w:r w:rsidR="00514C75">
        <w:rPr>
          <w:szCs w:val="24"/>
        </w:rPr>
        <w:t>paragraph</w:t>
      </w:r>
      <w:r>
        <w:rPr>
          <w:szCs w:val="24"/>
        </w:rPr>
        <w:t xml:space="preserve"> (a) or (b):</w:t>
      </w:r>
    </w:p>
    <w:p w14:paraId="7B3BFD99" w14:textId="34933DFE" w:rsidR="00482172" w:rsidRDefault="00A83FDD" w:rsidP="00AC6944">
      <w:pPr>
        <w:pStyle w:val="ListParagraph"/>
        <w:numPr>
          <w:ilvl w:val="1"/>
          <w:numId w:val="15"/>
        </w:numPr>
        <w:spacing w:after="240" w:line="240" w:lineRule="auto"/>
        <w:contextualSpacing w:val="0"/>
        <w:jc w:val="both"/>
        <w:rPr>
          <w:szCs w:val="24"/>
        </w:rPr>
      </w:pPr>
      <w:r>
        <w:rPr>
          <w:szCs w:val="24"/>
        </w:rPr>
        <w:t xml:space="preserve">Such an agreement </w:t>
      </w:r>
      <w:r w:rsidR="00482172">
        <w:rPr>
          <w:szCs w:val="24"/>
        </w:rPr>
        <w:t>would no</w:t>
      </w:r>
      <w:r>
        <w:rPr>
          <w:szCs w:val="24"/>
        </w:rPr>
        <w:t>t constitute the approval</w:t>
      </w:r>
      <w:r w:rsidR="00482172">
        <w:rPr>
          <w:szCs w:val="24"/>
        </w:rPr>
        <w:t xml:space="preserve">, </w:t>
      </w:r>
      <w:r w:rsidR="00514C75">
        <w:rPr>
          <w:szCs w:val="24"/>
        </w:rPr>
        <w:t>express</w:t>
      </w:r>
      <w:r w:rsidR="00482172">
        <w:rPr>
          <w:szCs w:val="24"/>
        </w:rPr>
        <w:t xml:space="preserve"> or implied, </w:t>
      </w:r>
      <w:r w:rsidR="004A7F5F">
        <w:rPr>
          <w:szCs w:val="24"/>
        </w:rPr>
        <w:t>of</w:t>
      </w:r>
      <w:r w:rsidR="00482172">
        <w:rPr>
          <w:szCs w:val="24"/>
        </w:rPr>
        <w:t xml:space="preserve"> any particular item of work </w:t>
      </w:r>
      <w:r>
        <w:rPr>
          <w:szCs w:val="24"/>
        </w:rPr>
        <w:t>be</w:t>
      </w:r>
      <w:r w:rsidR="004A7F5F">
        <w:rPr>
          <w:szCs w:val="24"/>
        </w:rPr>
        <w:t>ing</w:t>
      </w:r>
      <w:r>
        <w:rPr>
          <w:szCs w:val="24"/>
        </w:rPr>
        <w:t xml:space="preserve"> </w:t>
      </w:r>
      <w:r w:rsidR="00514C75">
        <w:rPr>
          <w:szCs w:val="24"/>
        </w:rPr>
        <w:t>done</w:t>
      </w:r>
      <w:r>
        <w:rPr>
          <w:szCs w:val="24"/>
        </w:rPr>
        <w:t xml:space="preserve"> by </w:t>
      </w:r>
      <w:r w:rsidR="00482172">
        <w:rPr>
          <w:szCs w:val="24"/>
        </w:rPr>
        <w:t>the Defendant</w:t>
      </w:r>
      <w:r>
        <w:rPr>
          <w:szCs w:val="24"/>
        </w:rPr>
        <w:t xml:space="preserve">.  </w:t>
      </w:r>
      <w:r w:rsidR="004A7F5F">
        <w:rPr>
          <w:szCs w:val="24"/>
        </w:rPr>
        <w:t xml:space="preserve">Nor </w:t>
      </w:r>
      <w:r w:rsidR="00482172">
        <w:rPr>
          <w:szCs w:val="24"/>
        </w:rPr>
        <w:t>w</w:t>
      </w:r>
      <w:r>
        <w:rPr>
          <w:szCs w:val="24"/>
        </w:rPr>
        <w:t>oul</w:t>
      </w:r>
      <w:r w:rsidR="004A7F5F">
        <w:rPr>
          <w:szCs w:val="24"/>
        </w:rPr>
        <w:t>d i</w:t>
      </w:r>
      <w:r w:rsidR="00482172">
        <w:rPr>
          <w:szCs w:val="24"/>
        </w:rPr>
        <w:t xml:space="preserve">t, for example, </w:t>
      </w:r>
      <w:r w:rsidR="004A7F5F">
        <w:rPr>
          <w:szCs w:val="24"/>
        </w:rPr>
        <w:t xml:space="preserve">constitute approval to the Defendant taking 11 hours over </w:t>
      </w:r>
      <w:r w:rsidR="00482172">
        <w:rPr>
          <w:szCs w:val="24"/>
        </w:rPr>
        <w:t xml:space="preserve">work which the </w:t>
      </w:r>
      <w:r w:rsidR="004A7F5F">
        <w:rPr>
          <w:szCs w:val="24"/>
        </w:rPr>
        <w:t>d</w:t>
      </w:r>
      <w:r w:rsidR="00E57DAB">
        <w:rPr>
          <w:szCs w:val="24"/>
        </w:rPr>
        <w:t>istrict</w:t>
      </w:r>
      <w:r w:rsidR="00482172">
        <w:rPr>
          <w:szCs w:val="24"/>
        </w:rPr>
        <w:t xml:space="preserve"> </w:t>
      </w:r>
      <w:r w:rsidR="004A7F5F">
        <w:rPr>
          <w:szCs w:val="24"/>
        </w:rPr>
        <w:t>j</w:t>
      </w:r>
      <w:r w:rsidR="00E57DAB">
        <w:rPr>
          <w:szCs w:val="24"/>
        </w:rPr>
        <w:t>udge</w:t>
      </w:r>
      <w:r w:rsidR="00482172">
        <w:rPr>
          <w:szCs w:val="24"/>
        </w:rPr>
        <w:t xml:space="preserve"> considered could be don</w:t>
      </w:r>
      <w:r>
        <w:rPr>
          <w:szCs w:val="24"/>
        </w:rPr>
        <w:t>e</w:t>
      </w:r>
      <w:r w:rsidR="00482172">
        <w:rPr>
          <w:szCs w:val="24"/>
        </w:rPr>
        <w:t xml:space="preserve"> in 9 hours.</w:t>
      </w:r>
    </w:p>
    <w:p w14:paraId="40A0566D" w14:textId="7E4F8CB7" w:rsidR="00482172" w:rsidRDefault="00482172" w:rsidP="00AC6944">
      <w:pPr>
        <w:pStyle w:val="ListParagraph"/>
        <w:numPr>
          <w:ilvl w:val="1"/>
          <w:numId w:val="15"/>
        </w:numPr>
        <w:spacing w:after="240" w:line="240" w:lineRule="auto"/>
        <w:contextualSpacing w:val="0"/>
        <w:jc w:val="both"/>
        <w:rPr>
          <w:szCs w:val="24"/>
        </w:rPr>
      </w:pPr>
      <w:r>
        <w:rPr>
          <w:szCs w:val="24"/>
        </w:rPr>
        <w:t>Nor w</w:t>
      </w:r>
      <w:r w:rsidR="00EB468D">
        <w:rPr>
          <w:szCs w:val="24"/>
        </w:rPr>
        <w:t xml:space="preserve">ould </w:t>
      </w:r>
      <w:r w:rsidR="00A83FDD">
        <w:rPr>
          <w:szCs w:val="24"/>
        </w:rPr>
        <w:t xml:space="preserve">an agreement to </w:t>
      </w:r>
      <w:r w:rsidR="004A7F5F">
        <w:rPr>
          <w:szCs w:val="24"/>
        </w:rPr>
        <w:t xml:space="preserve">such </w:t>
      </w:r>
      <w:r w:rsidR="00A83FDD">
        <w:rPr>
          <w:szCs w:val="24"/>
        </w:rPr>
        <w:t xml:space="preserve">a cap </w:t>
      </w:r>
      <w:r w:rsidR="004A7F5F">
        <w:rPr>
          <w:szCs w:val="24"/>
        </w:rPr>
        <w:t>constitute the</w:t>
      </w:r>
      <w:r w:rsidR="00A83FDD">
        <w:rPr>
          <w:szCs w:val="24"/>
        </w:rPr>
        <w:t xml:space="preserve"> </w:t>
      </w:r>
      <w:r w:rsidR="00756A52">
        <w:rPr>
          <w:szCs w:val="24"/>
        </w:rPr>
        <w:t xml:space="preserve">approval of the amount of the </w:t>
      </w:r>
      <w:r w:rsidR="00514C75">
        <w:rPr>
          <w:szCs w:val="24"/>
        </w:rPr>
        <w:t>Defendant’s</w:t>
      </w:r>
      <w:r w:rsidR="00756A52">
        <w:rPr>
          <w:szCs w:val="24"/>
        </w:rPr>
        <w:t xml:space="preserve"> costs or, for instance, of the Defendant’s hourly rate.  A client who agrees that she will not pay more than 25% of her damages is not agreeing that she will pay 25% of her </w:t>
      </w:r>
      <w:r w:rsidR="00514C75">
        <w:rPr>
          <w:szCs w:val="24"/>
        </w:rPr>
        <w:t>damages</w:t>
      </w:r>
      <w:r w:rsidR="00756A52">
        <w:rPr>
          <w:szCs w:val="24"/>
        </w:rPr>
        <w:t>, come what may.</w:t>
      </w:r>
    </w:p>
    <w:p w14:paraId="3B339F19" w14:textId="17B50F6E" w:rsidR="00482172" w:rsidRDefault="009A32D1" w:rsidP="00AC6944">
      <w:pPr>
        <w:pStyle w:val="ListParagraph"/>
        <w:numPr>
          <w:ilvl w:val="0"/>
          <w:numId w:val="15"/>
        </w:numPr>
        <w:spacing w:after="240" w:line="240" w:lineRule="auto"/>
        <w:contextualSpacing w:val="0"/>
        <w:jc w:val="both"/>
        <w:rPr>
          <w:szCs w:val="24"/>
        </w:rPr>
      </w:pPr>
      <w:r>
        <w:rPr>
          <w:szCs w:val="24"/>
        </w:rPr>
        <w:t xml:space="preserve">I note that the section of the Client Care </w:t>
      </w:r>
      <w:r w:rsidR="004A7F5F">
        <w:rPr>
          <w:szCs w:val="24"/>
        </w:rPr>
        <w:t>L</w:t>
      </w:r>
      <w:r>
        <w:rPr>
          <w:szCs w:val="24"/>
        </w:rPr>
        <w:t xml:space="preserve">etter headed “Outline of the Work” could </w:t>
      </w:r>
      <w:r w:rsidR="00E83A00">
        <w:rPr>
          <w:szCs w:val="24"/>
        </w:rPr>
        <w:t xml:space="preserve">perhaps </w:t>
      </w:r>
      <w:r>
        <w:rPr>
          <w:szCs w:val="24"/>
        </w:rPr>
        <w:t>be relied on for the purposes of sub-</w:t>
      </w:r>
      <w:r w:rsidR="00514C75">
        <w:rPr>
          <w:szCs w:val="24"/>
        </w:rPr>
        <w:t>paragraph</w:t>
      </w:r>
      <w:r>
        <w:rPr>
          <w:szCs w:val="24"/>
        </w:rPr>
        <w:t xml:space="preserve"> (a), but Mr Marven did not place any reliance on that section in his submissions.  Mr Marven did rely</w:t>
      </w:r>
      <w:r w:rsidR="00995740">
        <w:rPr>
          <w:szCs w:val="24"/>
        </w:rPr>
        <w:t xml:space="preserve">, for the </w:t>
      </w:r>
      <w:r w:rsidR="00514C75">
        <w:rPr>
          <w:szCs w:val="24"/>
        </w:rPr>
        <w:t>purposes</w:t>
      </w:r>
      <w:r w:rsidR="00995740">
        <w:rPr>
          <w:szCs w:val="24"/>
        </w:rPr>
        <w:t xml:space="preserve"> </w:t>
      </w:r>
      <w:r w:rsidR="00CF2FB8">
        <w:rPr>
          <w:szCs w:val="24"/>
        </w:rPr>
        <w:t>of</w:t>
      </w:r>
      <w:r w:rsidR="00995740">
        <w:rPr>
          <w:szCs w:val="24"/>
        </w:rPr>
        <w:t xml:space="preserve"> sub-paragraph (b), </w:t>
      </w:r>
      <w:r>
        <w:rPr>
          <w:szCs w:val="24"/>
        </w:rPr>
        <w:t xml:space="preserve">on his submission that the </w:t>
      </w:r>
      <w:r w:rsidR="00514C75">
        <w:rPr>
          <w:szCs w:val="24"/>
        </w:rPr>
        <w:t>Claimant</w:t>
      </w:r>
      <w:r>
        <w:rPr>
          <w:szCs w:val="24"/>
        </w:rPr>
        <w:t xml:space="preserve"> </w:t>
      </w:r>
      <w:r w:rsidR="00514C75">
        <w:rPr>
          <w:szCs w:val="24"/>
        </w:rPr>
        <w:t>had</w:t>
      </w:r>
      <w:r>
        <w:rPr>
          <w:szCs w:val="24"/>
        </w:rPr>
        <w:t xml:space="preserve"> approved the </w:t>
      </w:r>
      <w:r w:rsidR="00995740">
        <w:rPr>
          <w:szCs w:val="24"/>
        </w:rPr>
        <w:t xml:space="preserve">Defendant’s hourly rate, but I have already explained why I do </w:t>
      </w:r>
      <w:r w:rsidR="00514C75">
        <w:rPr>
          <w:szCs w:val="24"/>
        </w:rPr>
        <w:t>not</w:t>
      </w:r>
      <w:r w:rsidR="00995740">
        <w:rPr>
          <w:szCs w:val="24"/>
        </w:rPr>
        <w:t xml:space="preserve"> accept that submission.</w:t>
      </w:r>
    </w:p>
    <w:p w14:paraId="1FB173B6" w14:textId="77777777" w:rsidR="00E83A00" w:rsidRDefault="007A60F7" w:rsidP="00AC6944">
      <w:pPr>
        <w:pStyle w:val="ListParagraph"/>
        <w:numPr>
          <w:ilvl w:val="0"/>
          <w:numId w:val="15"/>
        </w:numPr>
        <w:spacing w:after="240" w:line="240" w:lineRule="auto"/>
        <w:contextualSpacing w:val="0"/>
        <w:jc w:val="both"/>
        <w:rPr>
          <w:szCs w:val="24"/>
        </w:rPr>
      </w:pPr>
      <w:r>
        <w:rPr>
          <w:szCs w:val="24"/>
        </w:rPr>
        <w:t>I</w:t>
      </w:r>
      <w:r w:rsidR="00995740">
        <w:rPr>
          <w:szCs w:val="24"/>
        </w:rPr>
        <w:t xml:space="preserve">t was accepted that a solicitor can only invoke the presumptions in sub-paragraphs (a) and (b) if he has obtained the client’s informed consent.  The </w:t>
      </w:r>
      <w:r w:rsidR="004A7F5F">
        <w:rPr>
          <w:szCs w:val="24"/>
        </w:rPr>
        <w:t>d</w:t>
      </w:r>
      <w:r w:rsidR="00E57DAB">
        <w:rPr>
          <w:szCs w:val="24"/>
        </w:rPr>
        <w:t>istrict</w:t>
      </w:r>
      <w:r w:rsidR="00995740">
        <w:rPr>
          <w:szCs w:val="24"/>
        </w:rPr>
        <w:t xml:space="preserve"> </w:t>
      </w:r>
      <w:r w:rsidR="004A7F5F">
        <w:rPr>
          <w:szCs w:val="24"/>
        </w:rPr>
        <w:t>j</w:t>
      </w:r>
      <w:r w:rsidR="00E57DAB">
        <w:rPr>
          <w:szCs w:val="24"/>
        </w:rPr>
        <w:t>udge</w:t>
      </w:r>
      <w:r w:rsidR="00995740">
        <w:rPr>
          <w:szCs w:val="24"/>
        </w:rPr>
        <w:t xml:space="preserve"> found in paragraphs 5 and 6 of his judgment that the </w:t>
      </w:r>
      <w:r w:rsidR="00514C75">
        <w:rPr>
          <w:szCs w:val="24"/>
        </w:rPr>
        <w:t>Claimant</w:t>
      </w:r>
      <w:r w:rsidR="00995740">
        <w:rPr>
          <w:szCs w:val="24"/>
        </w:rPr>
        <w:t xml:space="preserve"> </w:t>
      </w:r>
      <w:r w:rsidR="00514C75">
        <w:rPr>
          <w:szCs w:val="24"/>
        </w:rPr>
        <w:t>had</w:t>
      </w:r>
      <w:r w:rsidR="00995740">
        <w:rPr>
          <w:szCs w:val="24"/>
        </w:rPr>
        <w:t xml:space="preserve"> not given her informed consent to </w:t>
      </w:r>
      <w:r w:rsidR="004A7F5F">
        <w:rPr>
          <w:szCs w:val="24"/>
        </w:rPr>
        <w:t>t</w:t>
      </w:r>
      <w:r w:rsidR="00995740">
        <w:rPr>
          <w:szCs w:val="24"/>
        </w:rPr>
        <w:t>he agreement about the Defendant</w:t>
      </w:r>
      <w:r w:rsidR="004A7F5F">
        <w:rPr>
          <w:szCs w:val="24"/>
        </w:rPr>
        <w:t>’s costs</w:t>
      </w:r>
      <w:r w:rsidR="00995740">
        <w:rPr>
          <w:szCs w:val="24"/>
        </w:rPr>
        <w:t xml:space="preserve">.  </w:t>
      </w:r>
    </w:p>
    <w:p w14:paraId="0CACCF81" w14:textId="0164A632" w:rsidR="00995740" w:rsidRPr="00E83A00" w:rsidRDefault="00995740" w:rsidP="00AC6944">
      <w:pPr>
        <w:pStyle w:val="ListParagraph"/>
        <w:numPr>
          <w:ilvl w:val="0"/>
          <w:numId w:val="15"/>
        </w:numPr>
        <w:spacing w:after="240" w:line="240" w:lineRule="auto"/>
        <w:contextualSpacing w:val="0"/>
        <w:jc w:val="both"/>
        <w:rPr>
          <w:szCs w:val="24"/>
        </w:rPr>
      </w:pPr>
      <w:r>
        <w:rPr>
          <w:szCs w:val="24"/>
        </w:rPr>
        <w:t xml:space="preserve">Mr Marven submitted that the </w:t>
      </w:r>
      <w:r w:rsidR="00B01F52">
        <w:rPr>
          <w:szCs w:val="24"/>
        </w:rPr>
        <w:t>d</w:t>
      </w:r>
      <w:r w:rsidR="00E57DAB">
        <w:rPr>
          <w:szCs w:val="24"/>
        </w:rPr>
        <w:t>istrict</w:t>
      </w:r>
      <w:r>
        <w:rPr>
          <w:szCs w:val="24"/>
        </w:rPr>
        <w:t xml:space="preserve"> </w:t>
      </w:r>
      <w:r w:rsidR="00B01F52">
        <w:rPr>
          <w:szCs w:val="24"/>
        </w:rPr>
        <w:t>j</w:t>
      </w:r>
      <w:r w:rsidR="00E57DAB">
        <w:rPr>
          <w:szCs w:val="24"/>
        </w:rPr>
        <w:t>udge</w:t>
      </w:r>
      <w:r>
        <w:rPr>
          <w:szCs w:val="24"/>
        </w:rPr>
        <w:t xml:space="preserve"> was </w:t>
      </w:r>
      <w:r w:rsidR="00514C75">
        <w:rPr>
          <w:szCs w:val="24"/>
        </w:rPr>
        <w:t>wrong</w:t>
      </w:r>
      <w:r>
        <w:rPr>
          <w:szCs w:val="24"/>
        </w:rPr>
        <w:t xml:space="preserve"> to make this finding, but the principal basis for that submission was, again, his submission that the parties had agreed </w:t>
      </w:r>
      <w:r w:rsidR="00514C75">
        <w:rPr>
          <w:szCs w:val="24"/>
        </w:rPr>
        <w:t>to</w:t>
      </w:r>
      <w:r>
        <w:rPr>
          <w:szCs w:val="24"/>
        </w:rPr>
        <w:t xml:space="preserve"> a cap on the amount </w:t>
      </w:r>
      <w:r w:rsidR="00CF2FB8">
        <w:rPr>
          <w:szCs w:val="24"/>
        </w:rPr>
        <w:t>of</w:t>
      </w:r>
      <w:r>
        <w:rPr>
          <w:szCs w:val="24"/>
        </w:rPr>
        <w:t xml:space="preserve"> costs </w:t>
      </w:r>
      <w:r w:rsidR="00514C75">
        <w:rPr>
          <w:szCs w:val="24"/>
        </w:rPr>
        <w:t>recoverable</w:t>
      </w:r>
      <w:r>
        <w:rPr>
          <w:szCs w:val="24"/>
        </w:rPr>
        <w:t xml:space="preserve"> by the </w:t>
      </w:r>
      <w:r w:rsidR="00514C75">
        <w:rPr>
          <w:szCs w:val="24"/>
        </w:rPr>
        <w:t>Claimant</w:t>
      </w:r>
      <w:r>
        <w:rPr>
          <w:szCs w:val="24"/>
        </w:rPr>
        <w:t xml:space="preserve">.  </w:t>
      </w:r>
      <w:r w:rsidRPr="00E83A00">
        <w:rPr>
          <w:szCs w:val="24"/>
        </w:rPr>
        <w:t xml:space="preserve">Where such a cap is </w:t>
      </w:r>
      <w:r w:rsidRPr="00E83A00">
        <w:rPr>
          <w:szCs w:val="24"/>
        </w:rPr>
        <w:lastRenderedPageBreak/>
        <w:t xml:space="preserve">agreed, that may be a significant factor in relation to the issue </w:t>
      </w:r>
      <w:r w:rsidR="00CF2FB8" w:rsidRPr="00E83A00">
        <w:rPr>
          <w:szCs w:val="24"/>
        </w:rPr>
        <w:t>of</w:t>
      </w:r>
      <w:r w:rsidRPr="00E83A00">
        <w:rPr>
          <w:szCs w:val="24"/>
        </w:rPr>
        <w:t xml:space="preserve"> informed consent.  That is a matte</w:t>
      </w:r>
      <w:r w:rsidR="004A7F5F" w:rsidRPr="00E83A00">
        <w:rPr>
          <w:szCs w:val="24"/>
        </w:rPr>
        <w:t>r</w:t>
      </w:r>
      <w:r w:rsidRPr="00E83A00">
        <w:rPr>
          <w:szCs w:val="24"/>
        </w:rPr>
        <w:t xml:space="preserve"> </w:t>
      </w:r>
      <w:r w:rsidR="00514C75" w:rsidRPr="00E83A00">
        <w:rPr>
          <w:szCs w:val="24"/>
        </w:rPr>
        <w:t>for</w:t>
      </w:r>
      <w:r w:rsidRPr="00E83A00">
        <w:rPr>
          <w:szCs w:val="24"/>
        </w:rPr>
        <w:t xml:space="preserve"> consideration in another case.  But in this </w:t>
      </w:r>
      <w:proofErr w:type="gramStart"/>
      <w:r w:rsidRPr="00E83A00">
        <w:rPr>
          <w:szCs w:val="24"/>
        </w:rPr>
        <w:t>case</w:t>
      </w:r>
      <w:proofErr w:type="gramEnd"/>
      <w:r w:rsidRPr="00E83A00">
        <w:rPr>
          <w:szCs w:val="24"/>
        </w:rPr>
        <w:t xml:space="preserve"> there </w:t>
      </w:r>
      <w:r w:rsidR="00AD4363">
        <w:rPr>
          <w:szCs w:val="24"/>
        </w:rPr>
        <w:t>wa</w:t>
      </w:r>
      <w:r w:rsidRPr="00E83A00">
        <w:rPr>
          <w:szCs w:val="24"/>
        </w:rPr>
        <w:t>s no cap</w:t>
      </w:r>
      <w:r w:rsidR="007A60F7" w:rsidRPr="00E83A00">
        <w:rPr>
          <w:szCs w:val="24"/>
        </w:rPr>
        <w:t>.</w:t>
      </w:r>
    </w:p>
    <w:p w14:paraId="4C862987" w14:textId="3096C8B4" w:rsidR="007A60F7" w:rsidRDefault="00E83A00" w:rsidP="00AC6944">
      <w:pPr>
        <w:pStyle w:val="ListParagraph"/>
        <w:numPr>
          <w:ilvl w:val="0"/>
          <w:numId w:val="15"/>
        </w:numPr>
        <w:spacing w:after="240" w:line="240" w:lineRule="auto"/>
        <w:contextualSpacing w:val="0"/>
        <w:jc w:val="both"/>
        <w:rPr>
          <w:szCs w:val="24"/>
        </w:rPr>
      </w:pPr>
      <w:r>
        <w:rPr>
          <w:szCs w:val="24"/>
        </w:rPr>
        <w:t>Before considering whether a client has given informed consent, it is appropriate to identify what it is that the client is alleged to have given informed consent to.  The difficulty for the Defendant is that, as has already been seen, the Claimant did not agree to the Defendant doing 11 hours’ work and the Claimant did not agree to the Defendant being paid for that work at the rate of £161 per hour.  Since the Claimant did not consent to the hours work</w:t>
      </w:r>
      <w:r w:rsidR="00FC1572">
        <w:rPr>
          <w:szCs w:val="24"/>
        </w:rPr>
        <w:t>ed</w:t>
      </w:r>
      <w:r>
        <w:rPr>
          <w:szCs w:val="24"/>
        </w:rPr>
        <w:t xml:space="preserve"> or the hourly rate, the question whether she gave informed consent to them simply does not arise.   </w:t>
      </w:r>
    </w:p>
    <w:p w14:paraId="184EF070" w14:textId="3260DC3A" w:rsidR="004F214D" w:rsidRDefault="00FC1572" w:rsidP="00AC6944">
      <w:pPr>
        <w:pStyle w:val="ListParagraph"/>
        <w:numPr>
          <w:ilvl w:val="0"/>
          <w:numId w:val="15"/>
        </w:numPr>
        <w:spacing w:after="240" w:line="240" w:lineRule="auto"/>
        <w:contextualSpacing w:val="0"/>
        <w:jc w:val="both"/>
        <w:rPr>
          <w:szCs w:val="24"/>
        </w:rPr>
      </w:pPr>
      <w:r>
        <w:rPr>
          <w:szCs w:val="24"/>
        </w:rPr>
        <w:t xml:space="preserve">It can be said that the </w:t>
      </w:r>
      <w:r w:rsidR="00EB37DE">
        <w:rPr>
          <w:szCs w:val="24"/>
        </w:rPr>
        <w:t>Claimant</w:t>
      </w:r>
      <w:r>
        <w:rPr>
          <w:szCs w:val="24"/>
        </w:rPr>
        <w:t xml:space="preserve"> agreed that the </w:t>
      </w:r>
      <w:r w:rsidR="00EB37DE">
        <w:rPr>
          <w:szCs w:val="24"/>
        </w:rPr>
        <w:t>Defendant</w:t>
      </w:r>
      <w:r>
        <w:rPr>
          <w:szCs w:val="24"/>
        </w:rPr>
        <w:t xml:space="preserve"> would do the work identified in the “</w:t>
      </w:r>
      <w:r w:rsidR="00EB37DE">
        <w:rPr>
          <w:szCs w:val="24"/>
        </w:rPr>
        <w:t>Outline</w:t>
      </w:r>
      <w:r>
        <w:rPr>
          <w:szCs w:val="24"/>
        </w:rPr>
        <w:t xml:space="preserve"> of the Work” section of the Client Care Letter and agreed that the </w:t>
      </w:r>
      <w:r w:rsidR="00EB37DE">
        <w:rPr>
          <w:szCs w:val="24"/>
        </w:rPr>
        <w:t>Defendant</w:t>
      </w:r>
      <w:r>
        <w:rPr>
          <w:szCs w:val="24"/>
        </w:rPr>
        <w:t xml:space="preserve"> would be paid for that work on the basis of the hours worked multiplied by an hourly rate.  </w:t>
      </w:r>
      <w:r w:rsidR="004F214D">
        <w:rPr>
          <w:szCs w:val="24"/>
        </w:rPr>
        <w:t xml:space="preserve">That much does not greatly assist the Defendant in relation to sub-paragraphs (a) and (b).  </w:t>
      </w:r>
      <w:r w:rsidR="00EB37DE">
        <w:rPr>
          <w:szCs w:val="24"/>
        </w:rPr>
        <w:t>However</w:t>
      </w:r>
      <w:r w:rsidR="004F214D">
        <w:rPr>
          <w:szCs w:val="24"/>
        </w:rPr>
        <w:t xml:space="preserve">, insofar as the </w:t>
      </w:r>
      <w:r w:rsidR="00EB37DE">
        <w:rPr>
          <w:szCs w:val="24"/>
        </w:rPr>
        <w:t>Claimant</w:t>
      </w:r>
      <w:r w:rsidR="004F214D">
        <w:rPr>
          <w:szCs w:val="24"/>
        </w:rPr>
        <w:t xml:space="preserve"> agreed </w:t>
      </w:r>
      <w:r w:rsidR="00EB37DE">
        <w:rPr>
          <w:szCs w:val="24"/>
        </w:rPr>
        <w:t>anything</w:t>
      </w:r>
      <w:r w:rsidR="004F214D">
        <w:rPr>
          <w:szCs w:val="24"/>
        </w:rPr>
        <w:t xml:space="preserve"> with the </w:t>
      </w:r>
      <w:r w:rsidR="00EB37DE">
        <w:rPr>
          <w:szCs w:val="24"/>
        </w:rPr>
        <w:t>Defendant</w:t>
      </w:r>
      <w:r w:rsidR="004F214D">
        <w:rPr>
          <w:szCs w:val="24"/>
        </w:rPr>
        <w:t xml:space="preserve"> in relation to the nature</w:t>
      </w:r>
      <w:r w:rsidR="00EB37DE">
        <w:rPr>
          <w:szCs w:val="24"/>
        </w:rPr>
        <w:t xml:space="preserve"> </w:t>
      </w:r>
      <w:r w:rsidR="004F214D">
        <w:rPr>
          <w:szCs w:val="24"/>
        </w:rPr>
        <w:t>o</w:t>
      </w:r>
      <w:r w:rsidR="00EB37DE">
        <w:rPr>
          <w:szCs w:val="24"/>
        </w:rPr>
        <w:t>r</w:t>
      </w:r>
      <w:r w:rsidR="004F214D">
        <w:rPr>
          <w:szCs w:val="24"/>
        </w:rPr>
        <w:t xml:space="preserve"> amount o</w:t>
      </w:r>
      <w:r w:rsidR="00EB37DE">
        <w:rPr>
          <w:szCs w:val="24"/>
        </w:rPr>
        <w:t>f</w:t>
      </w:r>
      <w:r w:rsidR="004F214D">
        <w:rPr>
          <w:szCs w:val="24"/>
        </w:rPr>
        <w:t xml:space="preserve"> the costs to b</w:t>
      </w:r>
      <w:r w:rsidR="00AD4363">
        <w:rPr>
          <w:szCs w:val="24"/>
        </w:rPr>
        <w:t>e</w:t>
      </w:r>
      <w:r w:rsidR="004F214D">
        <w:rPr>
          <w:szCs w:val="24"/>
        </w:rPr>
        <w:t xml:space="preserve"> incurred, I consider that the district judge was right to hold in paragraph 5 and 6 of his judgment that the Claimant did not give her informed consent to the agreement between the parties as to costs.</w:t>
      </w:r>
    </w:p>
    <w:p w14:paraId="347D5E83" w14:textId="77777777" w:rsidR="004F214D" w:rsidRDefault="00C66817" w:rsidP="00AC6944">
      <w:pPr>
        <w:pStyle w:val="ListParagraph"/>
        <w:numPr>
          <w:ilvl w:val="0"/>
          <w:numId w:val="15"/>
        </w:numPr>
        <w:spacing w:after="240" w:line="240" w:lineRule="auto"/>
        <w:contextualSpacing w:val="0"/>
        <w:jc w:val="both"/>
        <w:rPr>
          <w:szCs w:val="24"/>
        </w:rPr>
      </w:pPr>
      <w:r>
        <w:rPr>
          <w:szCs w:val="24"/>
        </w:rPr>
        <w:t xml:space="preserve">It is illustrative to consider the potential </w:t>
      </w:r>
      <w:r w:rsidR="00514C75">
        <w:rPr>
          <w:szCs w:val="24"/>
        </w:rPr>
        <w:t>effects</w:t>
      </w:r>
      <w:r>
        <w:rPr>
          <w:szCs w:val="24"/>
        </w:rPr>
        <w:t xml:space="preserve"> of th</w:t>
      </w:r>
      <w:r w:rsidR="004F214D">
        <w:rPr>
          <w:szCs w:val="24"/>
        </w:rPr>
        <w:t>at</w:t>
      </w:r>
      <w:r>
        <w:rPr>
          <w:szCs w:val="24"/>
        </w:rPr>
        <w:t xml:space="preserve"> agreement</w:t>
      </w:r>
      <w:r w:rsidR="004F214D">
        <w:rPr>
          <w:szCs w:val="24"/>
        </w:rPr>
        <w:t>:</w:t>
      </w:r>
    </w:p>
    <w:p w14:paraId="22D5AC85" w14:textId="7F76A981" w:rsidR="00C66817" w:rsidRDefault="00056AA7" w:rsidP="00AC6944">
      <w:pPr>
        <w:pStyle w:val="ListParagraph"/>
        <w:numPr>
          <w:ilvl w:val="1"/>
          <w:numId w:val="15"/>
        </w:numPr>
        <w:spacing w:after="240" w:line="240" w:lineRule="auto"/>
        <w:contextualSpacing w:val="0"/>
        <w:jc w:val="both"/>
        <w:rPr>
          <w:szCs w:val="24"/>
        </w:rPr>
      </w:pPr>
      <w:r>
        <w:rPr>
          <w:szCs w:val="24"/>
        </w:rPr>
        <w:t xml:space="preserve">In </w:t>
      </w:r>
      <w:r w:rsidR="00514C75">
        <w:rPr>
          <w:szCs w:val="24"/>
        </w:rPr>
        <w:t>dealing</w:t>
      </w:r>
      <w:r>
        <w:rPr>
          <w:szCs w:val="24"/>
        </w:rPr>
        <w:t xml:space="preserve"> with </w:t>
      </w:r>
      <w:r w:rsidR="00CC67E0">
        <w:rPr>
          <w:szCs w:val="24"/>
        </w:rPr>
        <w:t>P</w:t>
      </w:r>
      <w:r>
        <w:rPr>
          <w:szCs w:val="24"/>
        </w:rPr>
        <w:t xml:space="preserve">oint 3, the </w:t>
      </w:r>
      <w:r w:rsidR="00E57DAB">
        <w:rPr>
          <w:szCs w:val="24"/>
        </w:rPr>
        <w:t>District</w:t>
      </w:r>
      <w:r>
        <w:rPr>
          <w:szCs w:val="24"/>
        </w:rPr>
        <w:t xml:space="preserve"> </w:t>
      </w:r>
      <w:r w:rsidR="00E57DAB">
        <w:rPr>
          <w:szCs w:val="24"/>
        </w:rPr>
        <w:t>Judge</w:t>
      </w:r>
      <w:r>
        <w:rPr>
          <w:szCs w:val="24"/>
        </w:rPr>
        <w:t xml:space="preserve"> decided that 9 hours at £120 per hour was reasonable for the Defendant’s bas</w:t>
      </w:r>
      <w:r w:rsidR="00CC67E0">
        <w:rPr>
          <w:szCs w:val="24"/>
        </w:rPr>
        <w:t>e</w:t>
      </w:r>
      <w:r>
        <w:rPr>
          <w:szCs w:val="24"/>
        </w:rPr>
        <w:t xml:space="preserve"> costs.  That is </w:t>
      </w:r>
      <w:r w:rsidR="00096F19">
        <w:rPr>
          <w:szCs w:val="24"/>
        </w:rPr>
        <w:t xml:space="preserve">£1,296 (i.e. </w:t>
      </w:r>
      <w:r>
        <w:rPr>
          <w:szCs w:val="24"/>
        </w:rPr>
        <w:t>£1,080 plus VAT</w:t>
      </w:r>
      <w:r w:rsidR="00096F19">
        <w:rPr>
          <w:szCs w:val="24"/>
        </w:rPr>
        <w:t xml:space="preserve"> of £216).  Had Aviva not paid the Defendant by mistake the extra £300, the </w:t>
      </w:r>
      <w:r w:rsidR="00514C75">
        <w:rPr>
          <w:szCs w:val="24"/>
        </w:rPr>
        <w:t>Claimant</w:t>
      </w:r>
      <w:r w:rsidR="00096F19">
        <w:rPr>
          <w:szCs w:val="24"/>
        </w:rPr>
        <w:t xml:space="preserve"> would </w:t>
      </w:r>
      <w:r w:rsidR="00514C75">
        <w:rPr>
          <w:szCs w:val="24"/>
        </w:rPr>
        <w:t>have</w:t>
      </w:r>
      <w:r w:rsidR="00096F19">
        <w:rPr>
          <w:szCs w:val="24"/>
        </w:rPr>
        <w:t xml:space="preserve"> had to pay £696 </w:t>
      </w:r>
      <w:r w:rsidR="00B01F52">
        <w:rPr>
          <w:szCs w:val="24"/>
        </w:rPr>
        <w:t>(i.e. £1,</w:t>
      </w:r>
      <w:r w:rsidR="0013661C">
        <w:rPr>
          <w:szCs w:val="24"/>
        </w:rPr>
        <w:t>2</w:t>
      </w:r>
      <w:r w:rsidR="00B01F52">
        <w:rPr>
          <w:szCs w:val="24"/>
        </w:rPr>
        <w:t xml:space="preserve">96 less £600) </w:t>
      </w:r>
      <w:r w:rsidR="00096F19">
        <w:rPr>
          <w:szCs w:val="24"/>
        </w:rPr>
        <w:t xml:space="preserve">to the </w:t>
      </w:r>
      <w:r w:rsidR="00514C75">
        <w:rPr>
          <w:szCs w:val="24"/>
        </w:rPr>
        <w:t>Defendant</w:t>
      </w:r>
      <w:r w:rsidR="00096F19">
        <w:rPr>
          <w:szCs w:val="24"/>
        </w:rPr>
        <w:t xml:space="preserve">, together with the ATE insurance premium </w:t>
      </w:r>
      <w:r w:rsidR="00CF2FB8">
        <w:rPr>
          <w:szCs w:val="24"/>
        </w:rPr>
        <w:t>of</w:t>
      </w:r>
      <w:r w:rsidR="00096F19">
        <w:rPr>
          <w:szCs w:val="24"/>
        </w:rPr>
        <w:t xml:space="preserve"> £143 and a success fee equivalent to 15% of £1,296, i.e. £194.40.  That would </w:t>
      </w:r>
      <w:r w:rsidR="00514C75">
        <w:rPr>
          <w:szCs w:val="24"/>
        </w:rPr>
        <w:t>have</w:t>
      </w:r>
      <w:r w:rsidR="00096F19">
        <w:rPr>
          <w:szCs w:val="24"/>
        </w:rPr>
        <w:t xml:space="preserve"> made a total of £1,033.40 to b</w:t>
      </w:r>
      <w:r w:rsidR="00CC67E0">
        <w:rPr>
          <w:szCs w:val="24"/>
        </w:rPr>
        <w:t>e</w:t>
      </w:r>
      <w:r w:rsidR="00096F19">
        <w:rPr>
          <w:szCs w:val="24"/>
        </w:rPr>
        <w:t xml:space="preserve"> deducted from the </w:t>
      </w:r>
      <w:r w:rsidR="00514C75">
        <w:rPr>
          <w:szCs w:val="24"/>
        </w:rPr>
        <w:t>damages</w:t>
      </w:r>
      <w:r w:rsidR="00096F19">
        <w:rPr>
          <w:szCs w:val="24"/>
        </w:rPr>
        <w:t xml:space="preserve"> </w:t>
      </w:r>
      <w:r w:rsidR="00CF2FB8">
        <w:rPr>
          <w:szCs w:val="24"/>
        </w:rPr>
        <w:t>of</w:t>
      </w:r>
      <w:r w:rsidR="00096F19">
        <w:rPr>
          <w:szCs w:val="24"/>
        </w:rPr>
        <w:t xml:space="preserve"> £1,250, </w:t>
      </w:r>
      <w:r w:rsidR="00514C75">
        <w:rPr>
          <w:szCs w:val="24"/>
        </w:rPr>
        <w:t>leaving</w:t>
      </w:r>
      <w:r w:rsidR="00096F19">
        <w:rPr>
          <w:szCs w:val="24"/>
        </w:rPr>
        <w:t xml:space="preserve"> the </w:t>
      </w:r>
      <w:r w:rsidR="00514C75">
        <w:rPr>
          <w:szCs w:val="24"/>
        </w:rPr>
        <w:t>Claimant</w:t>
      </w:r>
      <w:r w:rsidR="00096F19">
        <w:rPr>
          <w:szCs w:val="24"/>
        </w:rPr>
        <w:t xml:space="preserve"> with £216.60, </w:t>
      </w:r>
      <w:r w:rsidR="00514C75">
        <w:rPr>
          <w:szCs w:val="24"/>
        </w:rPr>
        <w:t>or 17</w:t>
      </w:r>
      <w:r w:rsidR="00096F19">
        <w:rPr>
          <w:szCs w:val="24"/>
        </w:rPr>
        <w:t>%</w:t>
      </w:r>
      <w:r w:rsidR="00CC67E0">
        <w:rPr>
          <w:szCs w:val="24"/>
        </w:rPr>
        <w:t>,</w:t>
      </w:r>
      <w:r w:rsidR="00096F19">
        <w:rPr>
          <w:szCs w:val="24"/>
        </w:rPr>
        <w:t xml:space="preserve"> of her damages.</w:t>
      </w:r>
    </w:p>
    <w:p w14:paraId="095418AD" w14:textId="050D29D7" w:rsidR="005C4C52" w:rsidRDefault="005C4C52" w:rsidP="00AC6944">
      <w:pPr>
        <w:pStyle w:val="ListParagraph"/>
        <w:numPr>
          <w:ilvl w:val="1"/>
          <w:numId w:val="15"/>
        </w:numPr>
        <w:spacing w:after="240" w:line="240" w:lineRule="auto"/>
        <w:contextualSpacing w:val="0"/>
        <w:jc w:val="both"/>
        <w:rPr>
          <w:szCs w:val="24"/>
        </w:rPr>
      </w:pPr>
      <w:r>
        <w:rPr>
          <w:szCs w:val="24"/>
        </w:rPr>
        <w:t xml:space="preserve">The position is even more striking if one uses the figures in the Defendant’s bill, in which the Defendant contended that </w:t>
      </w:r>
      <w:r w:rsidR="00514C75">
        <w:rPr>
          <w:szCs w:val="24"/>
        </w:rPr>
        <w:t>its</w:t>
      </w:r>
      <w:r>
        <w:rPr>
          <w:szCs w:val="24"/>
        </w:rPr>
        <w:t xml:space="preserve"> bas</w:t>
      </w:r>
      <w:r w:rsidR="00CC67E0">
        <w:rPr>
          <w:szCs w:val="24"/>
        </w:rPr>
        <w:t>e costs</w:t>
      </w:r>
      <w:r>
        <w:rPr>
          <w:szCs w:val="24"/>
        </w:rPr>
        <w:t xml:space="preserve"> were £2,060.40 (i.e. £1,717 pus VAT of £343.40)</w:t>
      </w:r>
      <w:r w:rsidR="0043515E">
        <w:rPr>
          <w:szCs w:val="24"/>
        </w:rPr>
        <w:t xml:space="preserve"> and </w:t>
      </w:r>
      <w:r w:rsidR="00514C75">
        <w:rPr>
          <w:szCs w:val="24"/>
        </w:rPr>
        <w:t>its</w:t>
      </w:r>
      <w:r w:rsidR="0043515E">
        <w:rPr>
          <w:szCs w:val="24"/>
        </w:rPr>
        <w:t xml:space="preserve"> success fee was £312.50.  Adding the ATE insurance premium of £143 to these amounts gives a total of £2,515.90.  If the </w:t>
      </w:r>
      <w:r w:rsidR="00514C75">
        <w:rPr>
          <w:szCs w:val="24"/>
        </w:rPr>
        <w:t>Defendant</w:t>
      </w:r>
      <w:r w:rsidR="0043515E">
        <w:rPr>
          <w:szCs w:val="24"/>
        </w:rPr>
        <w:t xml:space="preserve"> had claimed that amount f</w:t>
      </w:r>
      <w:r w:rsidR="00514C75">
        <w:rPr>
          <w:szCs w:val="24"/>
        </w:rPr>
        <w:t>ro</w:t>
      </w:r>
      <w:r w:rsidR="0043515E">
        <w:rPr>
          <w:szCs w:val="24"/>
        </w:rPr>
        <w:t xml:space="preserve">m the Claimant, then, even allowing for the extra £300 which Aviva paid to the Defendant, the </w:t>
      </w:r>
      <w:r w:rsidR="00514C75">
        <w:rPr>
          <w:szCs w:val="24"/>
        </w:rPr>
        <w:t>Defendant’s</w:t>
      </w:r>
      <w:r w:rsidR="0043515E">
        <w:rPr>
          <w:szCs w:val="24"/>
        </w:rPr>
        <w:t xml:space="preserve"> </w:t>
      </w:r>
      <w:r w:rsidR="002D549D">
        <w:rPr>
          <w:szCs w:val="24"/>
        </w:rPr>
        <w:t>costs would have exceeded the amount of</w:t>
      </w:r>
      <w:r w:rsidR="0043515E">
        <w:rPr>
          <w:szCs w:val="24"/>
        </w:rPr>
        <w:t xml:space="preserve"> the </w:t>
      </w:r>
      <w:r w:rsidR="00514C75">
        <w:rPr>
          <w:szCs w:val="24"/>
        </w:rPr>
        <w:t>Claimant’s</w:t>
      </w:r>
      <w:r w:rsidR="0043515E">
        <w:rPr>
          <w:szCs w:val="24"/>
        </w:rPr>
        <w:t xml:space="preserve"> damages </w:t>
      </w:r>
      <w:r w:rsidR="002D549D">
        <w:rPr>
          <w:szCs w:val="24"/>
        </w:rPr>
        <w:t>by</w:t>
      </w:r>
      <w:r w:rsidR="0043515E">
        <w:rPr>
          <w:szCs w:val="24"/>
        </w:rPr>
        <w:t xml:space="preserve"> £365.90 (i.e. £2,515.90 less the </w:t>
      </w:r>
      <w:r w:rsidR="00514C75">
        <w:rPr>
          <w:szCs w:val="24"/>
        </w:rPr>
        <w:t>sum</w:t>
      </w:r>
      <w:r w:rsidR="0043515E">
        <w:rPr>
          <w:szCs w:val="24"/>
        </w:rPr>
        <w:t xml:space="preserve"> of £1,250 and £900).  On that basis, </w:t>
      </w:r>
      <w:r w:rsidR="00514C75">
        <w:rPr>
          <w:szCs w:val="24"/>
        </w:rPr>
        <w:t>bringing</w:t>
      </w:r>
      <w:r w:rsidR="0043515E">
        <w:rPr>
          <w:szCs w:val="24"/>
        </w:rPr>
        <w:t xml:space="preserve"> the claim for damages </w:t>
      </w:r>
      <w:r w:rsidR="00514C75">
        <w:rPr>
          <w:szCs w:val="24"/>
        </w:rPr>
        <w:t>would</w:t>
      </w:r>
      <w:r w:rsidR="0043515E">
        <w:rPr>
          <w:szCs w:val="24"/>
        </w:rPr>
        <w:t xml:space="preserve"> have left the </w:t>
      </w:r>
      <w:r w:rsidR="00514C75">
        <w:rPr>
          <w:szCs w:val="24"/>
        </w:rPr>
        <w:t>Claimant</w:t>
      </w:r>
      <w:r w:rsidR="0043515E">
        <w:rPr>
          <w:szCs w:val="24"/>
        </w:rPr>
        <w:t xml:space="preserve"> with no damages and £365.90 out of pocket.</w:t>
      </w:r>
    </w:p>
    <w:p w14:paraId="650AD1DB" w14:textId="4A931AC8" w:rsidR="00DD3E95" w:rsidRDefault="00DD3E95" w:rsidP="00AC6944">
      <w:pPr>
        <w:pStyle w:val="ListParagraph"/>
        <w:numPr>
          <w:ilvl w:val="1"/>
          <w:numId w:val="15"/>
        </w:numPr>
        <w:spacing w:after="240" w:line="240" w:lineRule="auto"/>
        <w:contextualSpacing w:val="0"/>
        <w:jc w:val="both"/>
        <w:rPr>
          <w:szCs w:val="24"/>
        </w:rPr>
      </w:pPr>
      <w:r>
        <w:rPr>
          <w:szCs w:val="24"/>
        </w:rPr>
        <w:t xml:space="preserve">The Defendant had paid £625 to Glenfield Marketing.  In order </w:t>
      </w:r>
      <w:r w:rsidR="00AD4363">
        <w:rPr>
          <w:szCs w:val="24"/>
        </w:rPr>
        <w:t xml:space="preserve">for the Defendant </w:t>
      </w:r>
      <w:r>
        <w:rPr>
          <w:szCs w:val="24"/>
        </w:rPr>
        <w:t xml:space="preserve">not to be out of pocket, </w:t>
      </w:r>
      <w:r w:rsidR="00AD4363">
        <w:rPr>
          <w:szCs w:val="24"/>
        </w:rPr>
        <w:t>it</w:t>
      </w:r>
      <w:r>
        <w:rPr>
          <w:szCs w:val="24"/>
        </w:rPr>
        <w:t xml:space="preserve"> needed to charge at least that amount to the Claimant by way of base costs and success fee.  Yet if, as happened, the claim settled at Stage 2 for £1,250, then, in order to limit its recovery to 25% of the Claimant’s damages, the Defendant would have to claim no more than £760.42 (i.e. £500 base costs plus £260.42 success fee) plus VAT from the Claimant.  That is only £135.42 more than the Defendant had paid to Glenfield Marketing.  </w:t>
      </w:r>
    </w:p>
    <w:p w14:paraId="34C943DE" w14:textId="2CE544C6" w:rsidR="005B566F" w:rsidRDefault="005B566F" w:rsidP="00AC6944">
      <w:pPr>
        <w:pStyle w:val="ListParagraph"/>
        <w:numPr>
          <w:ilvl w:val="0"/>
          <w:numId w:val="15"/>
        </w:numPr>
        <w:spacing w:after="240" w:line="240" w:lineRule="auto"/>
        <w:contextualSpacing w:val="0"/>
        <w:jc w:val="both"/>
        <w:rPr>
          <w:szCs w:val="24"/>
        </w:rPr>
      </w:pPr>
      <w:r>
        <w:rPr>
          <w:szCs w:val="24"/>
        </w:rPr>
        <w:lastRenderedPageBreak/>
        <w:t xml:space="preserve">These figures are for </w:t>
      </w:r>
      <w:r w:rsidR="00514C75">
        <w:rPr>
          <w:szCs w:val="24"/>
        </w:rPr>
        <w:t>illustration</w:t>
      </w:r>
      <w:r>
        <w:rPr>
          <w:szCs w:val="24"/>
        </w:rPr>
        <w:t xml:space="preserve"> only.  However, as the </w:t>
      </w:r>
      <w:r w:rsidR="00514C75">
        <w:rPr>
          <w:szCs w:val="24"/>
        </w:rPr>
        <w:t>Defendant</w:t>
      </w:r>
      <w:r>
        <w:rPr>
          <w:szCs w:val="24"/>
        </w:rPr>
        <w:t xml:space="preserve"> acknowledged in paragraph 16.4 of the document headed “</w:t>
      </w:r>
      <w:r w:rsidR="005F6A60">
        <w:rPr>
          <w:szCs w:val="24"/>
        </w:rPr>
        <w:t>CFA: What You Need To Know”, the Defendant was obliged to g</w:t>
      </w:r>
      <w:r w:rsidR="005F6A60" w:rsidRPr="005F6A60">
        <w:rPr>
          <w:szCs w:val="24"/>
        </w:rPr>
        <w:t xml:space="preserve">ive </w:t>
      </w:r>
      <w:r w:rsidR="005F6A60">
        <w:rPr>
          <w:szCs w:val="24"/>
        </w:rPr>
        <w:t xml:space="preserve">the </w:t>
      </w:r>
      <w:r w:rsidR="00514C75">
        <w:rPr>
          <w:szCs w:val="24"/>
        </w:rPr>
        <w:t>Claimant</w:t>
      </w:r>
      <w:r w:rsidR="005F6A60" w:rsidRPr="005F6A60">
        <w:rPr>
          <w:szCs w:val="24"/>
        </w:rPr>
        <w:t xml:space="preserve"> the best information possible about the likely costs of</w:t>
      </w:r>
      <w:r w:rsidR="005F6A60">
        <w:rPr>
          <w:szCs w:val="24"/>
        </w:rPr>
        <w:t xml:space="preserve"> her</w:t>
      </w:r>
      <w:r w:rsidR="005F6A60" w:rsidRPr="005F6A60">
        <w:rPr>
          <w:szCs w:val="24"/>
        </w:rPr>
        <w:t xml:space="preserve"> claim for damages.</w:t>
      </w:r>
    </w:p>
    <w:p w14:paraId="46F2C82B" w14:textId="77777777" w:rsidR="005C4C52" w:rsidRDefault="005F6A60" w:rsidP="00AC6944">
      <w:pPr>
        <w:pStyle w:val="ListParagraph"/>
        <w:numPr>
          <w:ilvl w:val="0"/>
          <w:numId w:val="15"/>
        </w:numPr>
        <w:spacing w:after="240" w:line="240" w:lineRule="auto"/>
        <w:contextualSpacing w:val="0"/>
        <w:jc w:val="both"/>
        <w:rPr>
          <w:szCs w:val="24"/>
        </w:rPr>
      </w:pPr>
      <w:r>
        <w:rPr>
          <w:szCs w:val="24"/>
        </w:rPr>
        <w:t>Despite that obligation</w:t>
      </w:r>
      <w:r w:rsidR="005C4C52">
        <w:rPr>
          <w:szCs w:val="24"/>
        </w:rPr>
        <w:t>:</w:t>
      </w:r>
    </w:p>
    <w:p w14:paraId="22ADF9B3" w14:textId="699848D1" w:rsidR="005C4C52" w:rsidRDefault="005C4C52" w:rsidP="00AC6944">
      <w:pPr>
        <w:pStyle w:val="ListParagraph"/>
        <w:numPr>
          <w:ilvl w:val="1"/>
          <w:numId w:val="15"/>
        </w:numPr>
        <w:spacing w:after="240" w:line="240" w:lineRule="auto"/>
        <w:contextualSpacing w:val="0"/>
        <w:jc w:val="both"/>
        <w:rPr>
          <w:szCs w:val="24"/>
        </w:rPr>
      </w:pPr>
      <w:r>
        <w:rPr>
          <w:szCs w:val="24"/>
        </w:rPr>
        <w:t>T</w:t>
      </w:r>
      <w:r w:rsidR="005F6A60">
        <w:rPr>
          <w:szCs w:val="24"/>
        </w:rPr>
        <w:t xml:space="preserve">he Defendant did </w:t>
      </w:r>
      <w:r w:rsidR="00514C75">
        <w:rPr>
          <w:szCs w:val="24"/>
        </w:rPr>
        <w:t>not</w:t>
      </w:r>
      <w:r w:rsidR="005F6A60">
        <w:rPr>
          <w:szCs w:val="24"/>
        </w:rPr>
        <w:t xml:space="preserve"> (unlike the solicitors in </w:t>
      </w:r>
      <w:r w:rsidR="005F6A60">
        <w:rPr>
          <w:i/>
          <w:iCs/>
          <w:szCs w:val="24"/>
        </w:rPr>
        <w:t>Belsner v Cam Legal Services Ltd</w:t>
      </w:r>
      <w:r w:rsidR="005F6A60">
        <w:rPr>
          <w:szCs w:val="24"/>
        </w:rPr>
        <w:t xml:space="preserve">) give the </w:t>
      </w:r>
      <w:r w:rsidR="00514C75">
        <w:rPr>
          <w:szCs w:val="24"/>
        </w:rPr>
        <w:t>Claimant</w:t>
      </w:r>
      <w:r w:rsidR="005F6A60">
        <w:rPr>
          <w:szCs w:val="24"/>
        </w:rPr>
        <w:t xml:space="preserve"> an estimate of its likely costs.  </w:t>
      </w:r>
      <w:r w:rsidR="00B01F52">
        <w:rPr>
          <w:szCs w:val="24"/>
        </w:rPr>
        <w:t>Indeed, the Defendant did not even tell the Claimant what hourly rate it would charge.</w:t>
      </w:r>
    </w:p>
    <w:p w14:paraId="7927FA1B" w14:textId="6188D972" w:rsidR="00654F53" w:rsidRPr="00654F53" w:rsidRDefault="005F6A60" w:rsidP="00AC6944">
      <w:pPr>
        <w:pStyle w:val="ListParagraph"/>
        <w:numPr>
          <w:ilvl w:val="1"/>
          <w:numId w:val="15"/>
        </w:numPr>
        <w:spacing w:after="240" w:line="240" w:lineRule="auto"/>
        <w:contextualSpacing w:val="0"/>
        <w:jc w:val="both"/>
        <w:rPr>
          <w:szCs w:val="24"/>
        </w:rPr>
      </w:pPr>
      <w:r>
        <w:rPr>
          <w:szCs w:val="24"/>
        </w:rPr>
        <w:t>Nor di</w:t>
      </w:r>
      <w:r w:rsidR="00B15DEB">
        <w:rPr>
          <w:szCs w:val="24"/>
        </w:rPr>
        <w:t>d</w:t>
      </w:r>
      <w:r>
        <w:rPr>
          <w:szCs w:val="24"/>
        </w:rPr>
        <w:t xml:space="preserve"> the Defendant inform the </w:t>
      </w:r>
      <w:r w:rsidR="00514C75">
        <w:rPr>
          <w:szCs w:val="24"/>
        </w:rPr>
        <w:t>Claimant</w:t>
      </w:r>
      <w:r>
        <w:rPr>
          <w:szCs w:val="24"/>
        </w:rPr>
        <w:t xml:space="preserve"> that</w:t>
      </w:r>
      <w:r w:rsidR="005C4C52">
        <w:rPr>
          <w:szCs w:val="24"/>
        </w:rPr>
        <w:t>, for example, if her claim settled at Stage 2 for less than £10,000, then the amount which her opponent would b</w:t>
      </w:r>
      <w:r w:rsidR="00CC67E0">
        <w:rPr>
          <w:szCs w:val="24"/>
        </w:rPr>
        <w:t>e</w:t>
      </w:r>
      <w:r w:rsidR="005C4C52">
        <w:rPr>
          <w:szCs w:val="24"/>
        </w:rPr>
        <w:t xml:space="preserve"> liable to pay in respect o</w:t>
      </w:r>
      <w:r w:rsidR="00B15DEB">
        <w:rPr>
          <w:szCs w:val="24"/>
        </w:rPr>
        <w:t xml:space="preserve">f </w:t>
      </w:r>
      <w:r w:rsidR="00514C75">
        <w:rPr>
          <w:szCs w:val="24"/>
        </w:rPr>
        <w:t>the</w:t>
      </w:r>
      <w:r w:rsidR="005C4C52">
        <w:rPr>
          <w:szCs w:val="24"/>
        </w:rPr>
        <w:t xml:space="preserve"> Defendant’s bas</w:t>
      </w:r>
      <w:r w:rsidR="00B01F52">
        <w:rPr>
          <w:szCs w:val="24"/>
        </w:rPr>
        <w:t>e</w:t>
      </w:r>
      <w:r w:rsidR="005C4C52">
        <w:rPr>
          <w:szCs w:val="24"/>
        </w:rPr>
        <w:t xml:space="preserve"> costs might be £500 plus VAT.</w:t>
      </w:r>
      <w:r w:rsidR="00654F53" w:rsidRPr="00654F53">
        <w:rPr>
          <w:szCs w:val="24"/>
        </w:rPr>
        <w:t xml:space="preserve"> </w:t>
      </w:r>
    </w:p>
    <w:p w14:paraId="419C23D7" w14:textId="72447076" w:rsidR="00744293" w:rsidRDefault="00885D28" w:rsidP="00AC6944">
      <w:pPr>
        <w:pStyle w:val="ListParagraph"/>
        <w:numPr>
          <w:ilvl w:val="0"/>
          <w:numId w:val="15"/>
        </w:numPr>
        <w:spacing w:after="240" w:line="240" w:lineRule="auto"/>
        <w:contextualSpacing w:val="0"/>
        <w:jc w:val="both"/>
        <w:rPr>
          <w:szCs w:val="24"/>
        </w:rPr>
      </w:pPr>
      <w:r>
        <w:rPr>
          <w:szCs w:val="24"/>
        </w:rPr>
        <w:t xml:space="preserve">I have set out what the Defendant did say about </w:t>
      </w:r>
      <w:r w:rsidR="00CC67E0">
        <w:rPr>
          <w:szCs w:val="24"/>
        </w:rPr>
        <w:t>its</w:t>
      </w:r>
      <w:r>
        <w:rPr>
          <w:szCs w:val="24"/>
        </w:rPr>
        <w:t xml:space="preserve"> likely costs</w:t>
      </w:r>
      <w:r w:rsidR="00744293">
        <w:rPr>
          <w:szCs w:val="24"/>
        </w:rPr>
        <w:t>:</w:t>
      </w:r>
    </w:p>
    <w:p w14:paraId="0367E65F" w14:textId="5CAF78BB" w:rsidR="00744293" w:rsidRDefault="00744293" w:rsidP="00AC6944">
      <w:pPr>
        <w:pStyle w:val="ListParagraph"/>
        <w:numPr>
          <w:ilvl w:val="1"/>
          <w:numId w:val="15"/>
        </w:numPr>
        <w:spacing w:after="240" w:line="240" w:lineRule="auto"/>
        <w:contextualSpacing w:val="0"/>
        <w:jc w:val="both"/>
        <w:rPr>
          <w:szCs w:val="24"/>
        </w:rPr>
      </w:pPr>
      <w:r>
        <w:rPr>
          <w:szCs w:val="24"/>
        </w:rPr>
        <w:t xml:space="preserve">On the one hand, the </w:t>
      </w:r>
      <w:r w:rsidR="00514C75">
        <w:rPr>
          <w:szCs w:val="24"/>
        </w:rPr>
        <w:t>Defendant</w:t>
      </w:r>
      <w:r>
        <w:rPr>
          <w:szCs w:val="24"/>
        </w:rPr>
        <w:t xml:space="preserve"> said, in paragraph 3.2 of the </w:t>
      </w:r>
      <w:r w:rsidR="00514C75">
        <w:rPr>
          <w:szCs w:val="24"/>
        </w:rPr>
        <w:t>document</w:t>
      </w:r>
      <w:r>
        <w:rPr>
          <w:szCs w:val="24"/>
        </w:rPr>
        <w:t xml:space="preserve"> headed “CFA: What You Need To Know” that the costs which were </w:t>
      </w:r>
      <w:r w:rsidR="00514C75">
        <w:rPr>
          <w:szCs w:val="24"/>
        </w:rPr>
        <w:t>chargeable</w:t>
      </w:r>
      <w:r>
        <w:rPr>
          <w:szCs w:val="24"/>
        </w:rPr>
        <w:t xml:space="preserve"> under the agreement would almost certainly exceed the fixed costs which Aviva would </w:t>
      </w:r>
      <w:r w:rsidR="00514C75">
        <w:rPr>
          <w:szCs w:val="24"/>
        </w:rPr>
        <w:t>have</w:t>
      </w:r>
      <w:r>
        <w:rPr>
          <w:szCs w:val="24"/>
        </w:rPr>
        <w:t xml:space="preserve"> to </w:t>
      </w:r>
      <w:r w:rsidR="00514C75">
        <w:rPr>
          <w:szCs w:val="24"/>
        </w:rPr>
        <w:t>pay</w:t>
      </w:r>
      <w:r>
        <w:rPr>
          <w:szCs w:val="24"/>
        </w:rPr>
        <w:t xml:space="preserve"> and so the </w:t>
      </w:r>
      <w:r w:rsidR="00514C75">
        <w:rPr>
          <w:szCs w:val="24"/>
        </w:rPr>
        <w:t>Claimant</w:t>
      </w:r>
      <w:r>
        <w:rPr>
          <w:szCs w:val="24"/>
        </w:rPr>
        <w:t xml:space="preserve"> would be required </w:t>
      </w:r>
      <w:r w:rsidR="00514C75">
        <w:rPr>
          <w:szCs w:val="24"/>
        </w:rPr>
        <w:t>to</w:t>
      </w:r>
      <w:r>
        <w:rPr>
          <w:szCs w:val="24"/>
        </w:rPr>
        <w:t xml:space="preserve"> pay the shortfall from her damages.  Moreover, the </w:t>
      </w:r>
      <w:r w:rsidR="00514C75">
        <w:rPr>
          <w:szCs w:val="24"/>
        </w:rPr>
        <w:t>Defendant</w:t>
      </w:r>
      <w:r>
        <w:rPr>
          <w:szCs w:val="24"/>
        </w:rPr>
        <w:t xml:space="preserve"> stated in paragraph 8.3 of that document that the </w:t>
      </w:r>
      <w:r w:rsidR="00514C75">
        <w:rPr>
          <w:szCs w:val="24"/>
        </w:rPr>
        <w:t>Claimant</w:t>
      </w:r>
      <w:r>
        <w:rPr>
          <w:szCs w:val="24"/>
        </w:rPr>
        <w:t xml:space="preserve"> would </w:t>
      </w:r>
      <w:r w:rsidR="00514C75">
        <w:rPr>
          <w:szCs w:val="24"/>
        </w:rPr>
        <w:t>have</w:t>
      </w:r>
      <w:r>
        <w:rPr>
          <w:szCs w:val="24"/>
        </w:rPr>
        <w:t xml:space="preserve"> to pay the success fee and the ATE insurance premium herself.</w:t>
      </w:r>
    </w:p>
    <w:p w14:paraId="451C9A97" w14:textId="24190338" w:rsidR="004F214D" w:rsidRPr="00DD3E95" w:rsidRDefault="00744293" w:rsidP="00AC6944">
      <w:pPr>
        <w:pStyle w:val="ListParagraph"/>
        <w:numPr>
          <w:ilvl w:val="1"/>
          <w:numId w:val="15"/>
        </w:numPr>
        <w:spacing w:after="240" w:line="240" w:lineRule="auto"/>
        <w:contextualSpacing w:val="0"/>
        <w:jc w:val="both"/>
        <w:rPr>
          <w:szCs w:val="24"/>
        </w:rPr>
      </w:pPr>
      <w:r>
        <w:rPr>
          <w:szCs w:val="24"/>
        </w:rPr>
        <w:t xml:space="preserve">On the other hand, the Defendant stated in the </w:t>
      </w:r>
      <w:r w:rsidR="00514C75">
        <w:rPr>
          <w:szCs w:val="24"/>
        </w:rPr>
        <w:t>Client</w:t>
      </w:r>
      <w:r>
        <w:rPr>
          <w:szCs w:val="24"/>
        </w:rPr>
        <w:t xml:space="preserve"> Care Letter that it aimed to achieve an outcome whereby no more than 25% of the </w:t>
      </w:r>
      <w:r w:rsidR="00514C75">
        <w:rPr>
          <w:szCs w:val="24"/>
        </w:rPr>
        <w:t>Claimant’s</w:t>
      </w:r>
      <w:r>
        <w:rPr>
          <w:szCs w:val="24"/>
        </w:rPr>
        <w:t xml:space="preserve"> damages were deducted in costs and that this outcome was </w:t>
      </w:r>
      <w:r w:rsidR="00654F53" w:rsidRPr="00744293">
        <w:rPr>
          <w:szCs w:val="24"/>
        </w:rPr>
        <w:t xml:space="preserve">“achievable”.  </w:t>
      </w:r>
      <w:r w:rsidR="0043515E" w:rsidRPr="00744293">
        <w:rPr>
          <w:szCs w:val="24"/>
        </w:rPr>
        <w:t>I</w:t>
      </w:r>
      <w:r w:rsidR="00654F53" w:rsidRPr="00744293">
        <w:rPr>
          <w:szCs w:val="24"/>
        </w:rPr>
        <w:t xml:space="preserve">t could be said that this was an ambitious </w:t>
      </w:r>
      <w:r>
        <w:rPr>
          <w:szCs w:val="24"/>
        </w:rPr>
        <w:t>statement</w:t>
      </w:r>
      <w:r w:rsidR="00654F53" w:rsidRPr="00744293">
        <w:rPr>
          <w:szCs w:val="24"/>
        </w:rPr>
        <w:t xml:space="preserve"> in the context of </w:t>
      </w:r>
      <w:r w:rsidR="00FC4E62" w:rsidRPr="00744293">
        <w:rPr>
          <w:szCs w:val="24"/>
        </w:rPr>
        <w:t xml:space="preserve">a claim </w:t>
      </w:r>
      <w:r w:rsidR="00654F53" w:rsidRPr="00744293">
        <w:rPr>
          <w:szCs w:val="24"/>
        </w:rPr>
        <w:t xml:space="preserve">for damages for a whiplash injury for </w:t>
      </w:r>
      <w:r w:rsidR="00514C75" w:rsidRPr="00744293">
        <w:rPr>
          <w:szCs w:val="24"/>
        </w:rPr>
        <w:t>which</w:t>
      </w:r>
      <w:r w:rsidR="00FC4E62" w:rsidRPr="00744293">
        <w:rPr>
          <w:szCs w:val="24"/>
        </w:rPr>
        <w:t xml:space="preserve"> the </w:t>
      </w:r>
      <w:r w:rsidR="00514C75" w:rsidRPr="00744293">
        <w:rPr>
          <w:szCs w:val="24"/>
        </w:rPr>
        <w:t>Claimant</w:t>
      </w:r>
      <w:r w:rsidR="00FC4E62" w:rsidRPr="00744293">
        <w:rPr>
          <w:szCs w:val="24"/>
        </w:rPr>
        <w:t xml:space="preserve"> h</w:t>
      </w:r>
      <w:r w:rsidR="007A3C5B" w:rsidRPr="00744293">
        <w:rPr>
          <w:szCs w:val="24"/>
        </w:rPr>
        <w:t>a</w:t>
      </w:r>
      <w:r w:rsidR="00FC4E62" w:rsidRPr="00744293">
        <w:rPr>
          <w:szCs w:val="24"/>
        </w:rPr>
        <w:t>d received no medical attention</w:t>
      </w:r>
      <w:r w:rsidR="00DD3E95">
        <w:rPr>
          <w:szCs w:val="24"/>
        </w:rPr>
        <w:t xml:space="preserve">.  </w:t>
      </w:r>
      <w:r w:rsidR="00FC4E62" w:rsidRPr="00DD3E95">
        <w:rPr>
          <w:szCs w:val="24"/>
        </w:rPr>
        <w:t xml:space="preserve">The amount </w:t>
      </w:r>
      <w:r w:rsidR="00CF2FB8" w:rsidRPr="00DD3E95">
        <w:rPr>
          <w:szCs w:val="24"/>
        </w:rPr>
        <w:t>of</w:t>
      </w:r>
      <w:r w:rsidR="00FC4E62" w:rsidRPr="00DD3E95">
        <w:rPr>
          <w:szCs w:val="24"/>
        </w:rPr>
        <w:t xml:space="preserve"> the claim was </w:t>
      </w:r>
      <w:r w:rsidR="002D549D" w:rsidRPr="00DD3E95">
        <w:rPr>
          <w:szCs w:val="24"/>
        </w:rPr>
        <w:t>likely</w:t>
      </w:r>
      <w:r w:rsidR="00FC4E62" w:rsidRPr="00DD3E95">
        <w:rPr>
          <w:szCs w:val="24"/>
        </w:rPr>
        <w:t xml:space="preserve"> to be modest, as the Defendant must have appreciated   While the </w:t>
      </w:r>
      <w:r w:rsidR="00514C75" w:rsidRPr="00DD3E95">
        <w:rPr>
          <w:szCs w:val="24"/>
        </w:rPr>
        <w:t>Defendant</w:t>
      </w:r>
      <w:r w:rsidR="00FC4E62" w:rsidRPr="00DD3E95">
        <w:rPr>
          <w:szCs w:val="24"/>
        </w:rPr>
        <w:t xml:space="preserve"> could </w:t>
      </w:r>
      <w:r w:rsidR="00514C75" w:rsidRPr="00DD3E95">
        <w:rPr>
          <w:szCs w:val="24"/>
        </w:rPr>
        <w:t>not</w:t>
      </w:r>
      <w:r w:rsidR="00FC4E62" w:rsidRPr="00DD3E95">
        <w:rPr>
          <w:szCs w:val="24"/>
        </w:rPr>
        <w:t xml:space="preserve"> predict the precise amount for which </w:t>
      </w:r>
      <w:r w:rsidR="00507408" w:rsidRPr="00DD3E95">
        <w:rPr>
          <w:szCs w:val="24"/>
        </w:rPr>
        <w:t xml:space="preserve">the claim </w:t>
      </w:r>
      <w:r w:rsidR="00FC4E62" w:rsidRPr="00DD3E95">
        <w:rPr>
          <w:szCs w:val="24"/>
        </w:rPr>
        <w:t xml:space="preserve">would settle, the </w:t>
      </w:r>
      <w:r w:rsidR="00514C75" w:rsidRPr="00DD3E95">
        <w:rPr>
          <w:szCs w:val="24"/>
        </w:rPr>
        <w:t>Defendant</w:t>
      </w:r>
      <w:r w:rsidR="00FC4E62" w:rsidRPr="00DD3E95">
        <w:rPr>
          <w:szCs w:val="24"/>
        </w:rPr>
        <w:t xml:space="preserve"> must have appreciated that it was </w:t>
      </w:r>
      <w:r w:rsidR="00654F53" w:rsidRPr="00DD3E95">
        <w:rPr>
          <w:szCs w:val="24"/>
        </w:rPr>
        <w:t xml:space="preserve">likely to be </w:t>
      </w:r>
      <w:r w:rsidR="00FC4E62" w:rsidRPr="00DD3E95">
        <w:rPr>
          <w:szCs w:val="24"/>
        </w:rPr>
        <w:t xml:space="preserve">at the lower end </w:t>
      </w:r>
      <w:r w:rsidR="00CF2FB8" w:rsidRPr="00DD3E95">
        <w:rPr>
          <w:szCs w:val="24"/>
        </w:rPr>
        <w:t>of</w:t>
      </w:r>
      <w:r w:rsidR="00FC4E62" w:rsidRPr="00DD3E95">
        <w:rPr>
          <w:szCs w:val="24"/>
        </w:rPr>
        <w:t xml:space="preserve"> </w:t>
      </w:r>
      <w:r w:rsidR="00514C75" w:rsidRPr="00DD3E95">
        <w:rPr>
          <w:szCs w:val="24"/>
        </w:rPr>
        <w:t>claims</w:t>
      </w:r>
      <w:r w:rsidR="00FC4E62" w:rsidRPr="00DD3E95">
        <w:rPr>
          <w:szCs w:val="24"/>
        </w:rPr>
        <w:t xml:space="preserve"> covered by</w:t>
      </w:r>
      <w:r w:rsidR="00514C75" w:rsidRPr="00DD3E95">
        <w:rPr>
          <w:szCs w:val="24"/>
        </w:rPr>
        <w:t xml:space="preserve"> </w:t>
      </w:r>
      <w:r w:rsidR="00FC4E62" w:rsidRPr="00DD3E95">
        <w:rPr>
          <w:szCs w:val="24"/>
        </w:rPr>
        <w:t>th</w:t>
      </w:r>
      <w:r w:rsidR="00514C75" w:rsidRPr="00DD3E95">
        <w:rPr>
          <w:szCs w:val="24"/>
        </w:rPr>
        <w:t>e</w:t>
      </w:r>
      <w:r w:rsidR="00FC4E62" w:rsidRPr="00DD3E95">
        <w:rPr>
          <w:szCs w:val="24"/>
        </w:rPr>
        <w:t xml:space="preserve"> Protocol.</w:t>
      </w:r>
      <w:r w:rsidR="00507408" w:rsidRPr="00DD3E95">
        <w:rPr>
          <w:szCs w:val="24"/>
        </w:rPr>
        <w:t xml:space="preserve">  No evidence was adduced before me to suggest that the Defendant ever believed that the </w:t>
      </w:r>
      <w:r w:rsidR="00514C75" w:rsidRPr="00DD3E95">
        <w:rPr>
          <w:szCs w:val="24"/>
        </w:rPr>
        <w:t>Claimant’s</w:t>
      </w:r>
      <w:r w:rsidR="00507408" w:rsidRPr="00DD3E95">
        <w:rPr>
          <w:szCs w:val="24"/>
        </w:rPr>
        <w:t xml:space="preserve"> claim might settle for </w:t>
      </w:r>
      <w:r w:rsidR="008015D4" w:rsidRPr="00DD3E95">
        <w:rPr>
          <w:szCs w:val="24"/>
        </w:rPr>
        <w:t xml:space="preserve">an amount significantly greater </w:t>
      </w:r>
      <w:r w:rsidR="00507408" w:rsidRPr="00DD3E95">
        <w:rPr>
          <w:szCs w:val="24"/>
        </w:rPr>
        <w:t xml:space="preserve">than the amount for which it did settle. </w:t>
      </w:r>
      <w:r w:rsidR="002265F4" w:rsidRPr="00DD3E95">
        <w:rPr>
          <w:szCs w:val="24"/>
        </w:rPr>
        <w:t xml:space="preserve"> </w:t>
      </w:r>
    </w:p>
    <w:p w14:paraId="501F985B" w14:textId="6E9D320A" w:rsidR="00CC67E0" w:rsidRPr="00744293" w:rsidRDefault="00CC67E0" w:rsidP="00AC6944">
      <w:pPr>
        <w:pStyle w:val="ListParagraph"/>
        <w:numPr>
          <w:ilvl w:val="1"/>
          <w:numId w:val="15"/>
        </w:numPr>
        <w:spacing w:after="240" w:line="240" w:lineRule="auto"/>
        <w:contextualSpacing w:val="0"/>
        <w:jc w:val="both"/>
        <w:rPr>
          <w:szCs w:val="24"/>
        </w:rPr>
      </w:pPr>
      <w:r>
        <w:rPr>
          <w:szCs w:val="24"/>
        </w:rPr>
        <w:t>Clause 3.2 of the CFA and paragraph 8.2 of the document headed</w:t>
      </w:r>
      <w:r w:rsidR="00D17B1E">
        <w:rPr>
          <w:szCs w:val="24"/>
        </w:rPr>
        <w:t>,</w:t>
      </w:r>
      <w:r>
        <w:rPr>
          <w:szCs w:val="24"/>
        </w:rPr>
        <w:t xml:space="preserve"> “CFA: What You Need to Know” each referred to the possibility of the Claimant recovering “part or all” of the Defen</w:t>
      </w:r>
      <w:r w:rsidR="009E1C17">
        <w:rPr>
          <w:szCs w:val="24"/>
        </w:rPr>
        <w:t>d</w:t>
      </w:r>
      <w:r>
        <w:rPr>
          <w:szCs w:val="24"/>
        </w:rPr>
        <w:t>ant’s bas</w:t>
      </w:r>
      <w:r w:rsidR="009E1C17">
        <w:rPr>
          <w:szCs w:val="24"/>
        </w:rPr>
        <w:t>ic charges</w:t>
      </w:r>
      <w:r>
        <w:rPr>
          <w:szCs w:val="24"/>
        </w:rPr>
        <w:t xml:space="preserve"> and disbursements from Aviva.</w:t>
      </w:r>
      <w:r w:rsidR="009E1C17">
        <w:rPr>
          <w:szCs w:val="24"/>
        </w:rPr>
        <w:t xml:space="preserve">  This said nothing about how large a part of her costs the Claimant was likely to recover from Aviva if she did not recover all of them.</w:t>
      </w:r>
    </w:p>
    <w:p w14:paraId="6A68510E" w14:textId="5A8E3547" w:rsidR="00B15DEB" w:rsidRPr="00B15DEB" w:rsidRDefault="00B15DEB" w:rsidP="00AC6944">
      <w:pPr>
        <w:pStyle w:val="ListParagraph"/>
        <w:spacing w:after="240" w:line="240" w:lineRule="auto"/>
        <w:contextualSpacing w:val="0"/>
        <w:jc w:val="both"/>
        <w:rPr>
          <w:b/>
          <w:bCs/>
          <w:i/>
          <w:iCs/>
          <w:szCs w:val="24"/>
        </w:rPr>
      </w:pPr>
      <w:r w:rsidRPr="00B15DEB">
        <w:rPr>
          <w:b/>
          <w:bCs/>
          <w:i/>
          <w:iCs/>
          <w:szCs w:val="24"/>
        </w:rPr>
        <w:t xml:space="preserve">(5)(c) </w:t>
      </w:r>
      <w:r w:rsidR="00492E54">
        <w:rPr>
          <w:b/>
          <w:bCs/>
          <w:i/>
          <w:iCs/>
          <w:szCs w:val="24"/>
        </w:rPr>
        <w:t xml:space="preserve">Ground 1: </w:t>
      </w:r>
      <w:r w:rsidRPr="00B15DEB">
        <w:rPr>
          <w:b/>
          <w:bCs/>
          <w:i/>
          <w:iCs/>
          <w:szCs w:val="24"/>
        </w:rPr>
        <w:t>CPR 46.9(3)</w:t>
      </w:r>
      <w:r w:rsidR="00977F5D">
        <w:rPr>
          <w:b/>
          <w:bCs/>
          <w:i/>
          <w:iCs/>
          <w:szCs w:val="24"/>
        </w:rPr>
        <w:t>(c)(i)</w:t>
      </w:r>
    </w:p>
    <w:p w14:paraId="378A7449" w14:textId="49512321" w:rsidR="00D833D2" w:rsidRDefault="00B15DEB" w:rsidP="00AC6944">
      <w:pPr>
        <w:pStyle w:val="ListParagraph"/>
        <w:numPr>
          <w:ilvl w:val="0"/>
          <w:numId w:val="15"/>
        </w:numPr>
        <w:spacing w:after="240" w:line="240" w:lineRule="auto"/>
        <w:contextualSpacing w:val="0"/>
        <w:jc w:val="both"/>
        <w:rPr>
          <w:szCs w:val="24"/>
        </w:rPr>
      </w:pPr>
      <w:r>
        <w:rPr>
          <w:szCs w:val="24"/>
        </w:rPr>
        <w:t xml:space="preserve">The </w:t>
      </w:r>
      <w:r w:rsidR="009E1C17">
        <w:rPr>
          <w:szCs w:val="24"/>
        </w:rPr>
        <w:t>d</w:t>
      </w:r>
      <w:r w:rsidR="00E57DAB">
        <w:rPr>
          <w:szCs w:val="24"/>
        </w:rPr>
        <w:t>istrict</w:t>
      </w:r>
      <w:r>
        <w:rPr>
          <w:szCs w:val="24"/>
        </w:rPr>
        <w:t xml:space="preserve"> </w:t>
      </w:r>
      <w:r w:rsidR="009E1C17">
        <w:rPr>
          <w:szCs w:val="24"/>
        </w:rPr>
        <w:t>j</w:t>
      </w:r>
      <w:r w:rsidR="00E57DAB">
        <w:rPr>
          <w:szCs w:val="24"/>
        </w:rPr>
        <w:t>udge</w:t>
      </w:r>
      <w:r>
        <w:rPr>
          <w:szCs w:val="24"/>
        </w:rPr>
        <w:t xml:space="preserve"> found, in effect, in paragraph 7 </w:t>
      </w:r>
      <w:r w:rsidR="00CF2FB8">
        <w:rPr>
          <w:szCs w:val="24"/>
        </w:rPr>
        <w:t>of</w:t>
      </w:r>
      <w:r>
        <w:rPr>
          <w:szCs w:val="24"/>
        </w:rPr>
        <w:t xml:space="preserve"> his judgment that the Defendant’</w:t>
      </w:r>
      <w:r w:rsidR="00D17B1E">
        <w:rPr>
          <w:szCs w:val="24"/>
        </w:rPr>
        <w:t>s</w:t>
      </w:r>
      <w:r>
        <w:rPr>
          <w:szCs w:val="24"/>
        </w:rPr>
        <w:t xml:space="preserve"> costs were “of an unusual … amount”, since £16</w:t>
      </w:r>
      <w:r w:rsidR="00B01F52">
        <w:rPr>
          <w:szCs w:val="24"/>
        </w:rPr>
        <w:t xml:space="preserve">1 </w:t>
      </w:r>
      <w:r w:rsidR="004F214D">
        <w:rPr>
          <w:szCs w:val="24"/>
        </w:rPr>
        <w:t>p</w:t>
      </w:r>
      <w:r w:rsidR="00B01F52">
        <w:rPr>
          <w:szCs w:val="24"/>
        </w:rPr>
        <w:t>er hour</w:t>
      </w:r>
      <w:r>
        <w:rPr>
          <w:szCs w:val="24"/>
        </w:rPr>
        <w:t xml:space="preserve"> was an </w:t>
      </w:r>
      <w:r w:rsidR="00514C75">
        <w:rPr>
          <w:szCs w:val="24"/>
        </w:rPr>
        <w:t>unusual</w:t>
      </w:r>
      <w:r>
        <w:rPr>
          <w:szCs w:val="24"/>
        </w:rPr>
        <w:t xml:space="preserve"> hourly rate for a Grade D fee earner conducting </w:t>
      </w:r>
      <w:r w:rsidR="00514C75">
        <w:rPr>
          <w:szCs w:val="24"/>
        </w:rPr>
        <w:t>a low</w:t>
      </w:r>
      <w:r>
        <w:rPr>
          <w:szCs w:val="24"/>
        </w:rPr>
        <w:t xml:space="preserve"> value road </w:t>
      </w:r>
      <w:r w:rsidR="00514C75">
        <w:rPr>
          <w:szCs w:val="24"/>
        </w:rPr>
        <w:t>traffic</w:t>
      </w:r>
      <w:r>
        <w:rPr>
          <w:szCs w:val="24"/>
        </w:rPr>
        <w:t xml:space="preserve"> accident claim.  Mr Marven challenged this finding, but in my judgment it </w:t>
      </w:r>
      <w:r w:rsidR="00514C75">
        <w:rPr>
          <w:szCs w:val="24"/>
        </w:rPr>
        <w:t>is</w:t>
      </w:r>
      <w:r>
        <w:rPr>
          <w:szCs w:val="24"/>
        </w:rPr>
        <w:t xml:space="preserve"> an assessment which </w:t>
      </w:r>
      <w:r w:rsidR="00441272">
        <w:rPr>
          <w:szCs w:val="24"/>
        </w:rPr>
        <w:t>the</w:t>
      </w:r>
      <w:r>
        <w:rPr>
          <w:szCs w:val="24"/>
        </w:rPr>
        <w:t xml:space="preserve"> </w:t>
      </w:r>
      <w:r w:rsidR="009E1C17">
        <w:rPr>
          <w:szCs w:val="24"/>
        </w:rPr>
        <w:t>d</w:t>
      </w:r>
      <w:r w:rsidR="00E57DAB">
        <w:rPr>
          <w:szCs w:val="24"/>
        </w:rPr>
        <w:t>istrict</w:t>
      </w:r>
      <w:r>
        <w:rPr>
          <w:szCs w:val="24"/>
        </w:rPr>
        <w:t xml:space="preserve"> </w:t>
      </w:r>
      <w:r w:rsidR="009E1C17">
        <w:rPr>
          <w:szCs w:val="24"/>
        </w:rPr>
        <w:t>j</w:t>
      </w:r>
      <w:r w:rsidR="00E57DAB">
        <w:rPr>
          <w:szCs w:val="24"/>
        </w:rPr>
        <w:t>udge</w:t>
      </w:r>
      <w:r>
        <w:rPr>
          <w:szCs w:val="24"/>
        </w:rPr>
        <w:t xml:space="preserve"> was entitled to make.  </w:t>
      </w:r>
      <w:r w:rsidR="00933C52">
        <w:rPr>
          <w:szCs w:val="24"/>
        </w:rPr>
        <w:t xml:space="preserve">He explained that the usual rates in </w:t>
      </w:r>
      <w:r w:rsidR="00514C75">
        <w:rPr>
          <w:szCs w:val="24"/>
        </w:rPr>
        <w:t>such</w:t>
      </w:r>
      <w:r w:rsidR="00933C52">
        <w:rPr>
          <w:szCs w:val="24"/>
        </w:rPr>
        <w:t xml:space="preserve"> cases were </w:t>
      </w:r>
      <w:r w:rsidR="00514C75">
        <w:rPr>
          <w:szCs w:val="24"/>
        </w:rPr>
        <w:t>between</w:t>
      </w:r>
      <w:r w:rsidR="00933C52">
        <w:rPr>
          <w:szCs w:val="24"/>
        </w:rPr>
        <w:t xml:space="preserve"> </w:t>
      </w:r>
      <w:r w:rsidR="00933C52">
        <w:rPr>
          <w:szCs w:val="24"/>
        </w:rPr>
        <w:lastRenderedPageBreak/>
        <w:t>£111 and £125 per hour and there was no evidence before me that £16</w:t>
      </w:r>
      <w:r w:rsidR="009E1C17">
        <w:rPr>
          <w:szCs w:val="24"/>
        </w:rPr>
        <w:t>1</w:t>
      </w:r>
      <w:r w:rsidR="00933C52">
        <w:rPr>
          <w:szCs w:val="24"/>
        </w:rPr>
        <w:t xml:space="preserve"> per hour was a usual rate in such cases.  </w:t>
      </w:r>
      <w:r>
        <w:rPr>
          <w:szCs w:val="24"/>
        </w:rPr>
        <w:t xml:space="preserve">It </w:t>
      </w:r>
      <w:r w:rsidR="00514C75">
        <w:rPr>
          <w:szCs w:val="24"/>
        </w:rPr>
        <w:t>follows</w:t>
      </w:r>
      <w:r>
        <w:rPr>
          <w:szCs w:val="24"/>
        </w:rPr>
        <w:t xml:space="preserve"> that the requirement </w:t>
      </w:r>
      <w:r w:rsidR="00CF2FB8">
        <w:rPr>
          <w:szCs w:val="24"/>
        </w:rPr>
        <w:t>of</w:t>
      </w:r>
      <w:r>
        <w:rPr>
          <w:szCs w:val="24"/>
        </w:rPr>
        <w:t xml:space="preserve"> CPR 46.</w:t>
      </w:r>
      <w:r w:rsidR="00514C75">
        <w:rPr>
          <w:szCs w:val="24"/>
        </w:rPr>
        <w:t>9</w:t>
      </w:r>
      <w:r>
        <w:rPr>
          <w:szCs w:val="24"/>
        </w:rPr>
        <w:t>(3)</w:t>
      </w:r>
      <w:r w:rsidR="00441272">
        <w:rPr>
          <w:szCs w:val="24"/>
        </w:rPr>
        <w:t>(c)</w:t>
      </w:r>
      <w:r>
        <w:rPr>
          <w:szCs w:val="24"/>
        </w:rPr>
        <w:t xml:space="preserve">(i) was </w:t>
      </w:r>
      <w:r w:rsidR="00514C75">
        <w:rPr>
          <w:szCs w:val="24"/>
        </w:rPr>
        <w:t>satisfied</w:t>
      </w:r>
      <w:r>
        <w:rPr>
          <w:szCs w:val="24"/>
        </w:rPr>
        <w:t xml:space="preserve">.  </w:t>
      </w:r>
    </w:p>
    <w:p w14:paraId="381F24E5" w14:textId="0D6E58C4" w:rsidR="00D833D2" w:rsidRDefault="00D833D2" w:rsidP="00AC6944">
      <w:pPr>
        <w:pStyle w:val="ListParagraph"/>
        <w:numPr>
          <w:ilvl w:val="0"/>
          <w:numId w:val="15"/>
        </w:numPr>
        <w:spacing w:after="240" w:line="240" w:lineRule="auto"/>
        <w:contextualSpacing w:val="0"/>
        <w:jc w:val="both"/>
        <w:rPr>
          <w:szCs w:val="24"/>
        </w:rPr>
      </w:pPr>
      <w:r>
        <w:rPr>
          <w:szCs w:val="24"/>
        </w:rPr>
        <w:t>Although it is not necessary for the determination of this appeal, I should state that I do</w:t>
      </w:r>
      <w:r w:rsidR="00D17B1E">
        <w:rPr>
          <w:szCs w:val="24"/>
        </w:rPr>
        <w:t xml:space="preserve"> not</w:t>
      </w:r>
      <w:r>
        <w:rPr>
          <w:szCs w:val="24"/>
        </w:rPr>
        <w:t xml:space="preserve"> accept the </w:t>
      </w:r>
      <w:r w:rsidR="00514C75">
        <w:rPr>
          <w:szCs w:val="24"/>
        </w:rPr>
        <w:t>Claimant’s</w:t>
      </w:r>
      <w:r>
        <w:rPr>
          <w:szCs w:val="24"/>
        </w:rPr>
        <w:t xml:space="preserve"> submission that any </w:t>
      </w:r>
      <w:r w:rsidR="00514C75">
        <w:rPr>
          <w:szCs w:val="24"/>
        </w:rPr>
        <w:t>costs</w:t>
      </w:r>
      <w:r>
        <w:rPr>
          <w:szCs w:val="24"/>
        </w:rPr>
        <w:t xml:space="preserve"> in excess of the fixed costs allowed inter partes were unusual for the purposes </w:t>
      </w:r>
      <w:r w:rsidR="00CF2FB8">
        <w:rPr>
          <w:szCs w:val="24"/>
        </w:rPr>
        <w:t>of</w:t>
      </w:r>
      <w:r>
        <w:rPr>
          <w:szCs w:val="24"/>
        </w:rPr>
        <w:t xml:space="preserve"> CPR 46.9(3)(c)(i) on an assessment </w:t>
      </w:r>
      <w:r w:rsidR="00CF2FB8">
        <w:rPr>
          <w:szCs w:val="24"/>
        </w:rPr>
        <w:t>of</w:t>
      </w:r>
      <w:r>
        <w:rPr>
          <w:szCs w:val="24"/>
        </w:rPr>
        <w:t xml:space="preserve"> costs between solicitor and client on the indemnity basis.  It is not necessary for me to decide this point, because the </w:t>
      </w:r>
      <w:r w:rsidR="00E57DAB">
        <w:rPr>
          <w:szCs w:val="24"/>
        </w:rPr>
        <w:t>district</w:t>
      </w:r>
      <w:r>
        <w:rPr>
          <w:szCs w:val="24"/>
        </w:rPr>
        <w:t xml:space="preserve"> </w:t>
      </w:r>
      <w:r w:rsidR="00E57DAB">
        <w:rPr>
          <w:szCs w:val="24"/>
        </w:rPr>
        <w:t>judge</w:t>
      </w:r>
      <w:r>
        <w:rPr>
          <w:szCs w:val="24"/>
        </w:rPr>
        <w:t xml:space="preserve"> did </w:t>
      </w:r>
      <w:r w:rsidR="00514C75">
        <w:rPr>
          <w:szCs w:val="24"/>
        </w:rPr>
        <w:t>not</w:t>
      </w:r>
      <w:r>
        <w:rPr>
          <w:szCs w:val="24"/>
        </w:rPr>
        <w:t xml:space="preserve"> base his </w:t>
      </w:r>
      <w:r w:rsidR="00514C75">
        <w:rPr>
          <w:szCs w:val="24"/>
        </w:rPr>
        <w:t>decision</w:t>
      </w:r>
      <w:r>
        <w:rPr>
          <w:szCs w:val="24"/>
        </w:rPr>
        <w:t xml:space="preserve"> on </w:t>
      </w:r>
      <w:r w:rsidR="009E1C17">
        <w:rPr>
          <w:szCs w:val="24"/>
        </w:rPr>
        <w:t>it</w:t>
      </w:r>
      <w:r>
        <w:rPr>
          <w:szCs w:val="24"/>
        </w:rPr>
        <w:t xml:space="preserve">, but it </w:t>
      </w:r>
      <w:r w:rsidR="009E1C17">
        <w:rPr>
          <w:szCs w:val="24"/>
        </w:rPr>
        <w:t>may be</w:t>
      </w:r>
      <w:r>
        <w:rPr>
          <w:szCs w:val="24"/>
        </w:rPr>
        <w:t xml:space="preserve"> worth stating that </w:t>
      </w:r>
      <w:r w:rsidR="009E1C17">
        <w:rPr>
          <w:szCs w:val="24"/>
        </w:rPr>
        <w:t xml:space="preserve">in my judgment </w:t>
      </w:r>
      <w:r>
        <w:rPr>
          <w:szCs w:val="24"/>
        </w:rPr>
        <w:t xml:space="preserve">the question </w:t>
      </w:r>
      <w:r w:rsidR="00CF2FB8">
        <w:rPr>
          <w:szCs w:val="24"/>
        </w:rPr>
        <w:t>of</w:t>
      </w:r>
      <w:r>
        <w:rPr>
          <w:szCs w:val="24"/>
        </w:rPr>
        <w:t xml:space="preserve"> what is usual or </w:t>
      </w:r>
      <w:r w:rsidR="00514C75">
        <w:rPr>
          <w:szCs w:val="24"/>
        </w:rPr>
        <w:t>unusual</w:t>
      </w:r>
      <w:r>
        <w:rPr>
          <w:szCs w:val="24"/>
        </w:rPr>
        <w:t xml:space="preserve"> as between solicitor and client is a very different question from the question </w:t>
      </w:r>
      <w:r w:rsidR="00CF2FB8">
        <w:rPr>
          <w:szCs w:val="24"/>
        </w:rPr>
        <w:t>of</w:t>
      </w:r>
      <w:r>
        <w:rPr>
          <w:szCs w:val="24"/>
        </w:rPr>
        <w:t xml:space="preserve"> what is recoverable inter partes.</w:t>
      </w:r>
    </w:p>
    <w:p w14:paraId="3D2CD302" w14:textId="469C37EE" w:rsidR="00B15DEB" w:rsidRPr="00D833D2" w:rsidRDefault="00D833D2" w:rsidP="00AC6944">
      <w:pPr>
        <w:pStyle w:val="ListParagraph"/>
        <w:numPr>
          <w:ilvl w:val="0"/>
          <w:numId w:val="15"/>
        </w:numPr>
        <w:spacing w:after="240" w:line="240" w:lineRule="auto"/>
        <w:contextualSpacing w:val="0"/>
        <w:jc w:val="both"/>
        <w:rPr>
          <w:szCs w:val="24"/>
        </w:rPr>
      </w:pPr>
      <w:r>
        <w:rPr>
          <w:szCs w:val="24"/>
        </w:rPr>
        <w:t>The question whether a solicitor’</w:t>
      </w:r>
      <w:r w:rsidR="009E1C17">
        <w:rPr>
          <w:szCs w:val="24"/>
        </w:rPr>
        <w:t>s</w:t>
      </w:r>
      <w:r>
        <w:rPr>
          <w:szCs w:val="24"/>
        </w:rPr>
        <w:t xml:space="preserve"> </w:t>
      </w:r>
      <w:r w:rsidR="00945343">
        <w:rPr>
          <w:szCs w:val="24"/>
        </w:rPr>
        <w:t>costs</w:t>
      </w:r>
      <w:r>
        <w:rPr>
          <w:szCs w:val="24"/>
        </w:rPr>
        <w:t xml:space="preserve"> should be limited to those </w:t>
      </w:r>
      <w:r w:rsidR="00514C75">
        <w:rPr>
          <w:szCs w:val="24"/>
        </w:rPr>
        <w:t>recoverable</w:t>
      </w:r>
      <w:r>
        <w:rPr>
          <w:szCs w:val="24"/>
        </w:rPr>
        <w:t xml:space="preserve"> inter partes is </w:t>
      </w:r>
      <w:r w:rsidR="00514C75">
        <w:rPr>
          <w:szCs w:val="24"/>
        </w:rPr>
        <w:t>dealt</w:t>
      </w:r>
      <w:r>
        <w:rPr>
          <w:szCs w:val="24"/>
        </w:rPr>
        <w:t xml:space="preserve"> with by </w:t>
      </w:r>
      <w:r w:rsidR="009E1C17">
        <w:rPr>
          <w:szCs w:val="24"/>
        </w:rPr>
        <w:t>sub</w:t>
      </w:r>
      <w:r>
        <w:rPr>
          <w:szCs w:val="24"/>
        </w:rPr>
        <w:t xml:space="preserve">section 74(3) </w:t>
      </w:r>
      <w:r w:rsidR="00CF2FB8">
        <w:rPr>
          <w:szCs w:val="24"/>
        </w:rPr>
        <w:t>of</w:t>
      </w:r>
      <w:r>
        <w:rPr>
          <w:szCs w:val="24"/>
        </w:rPr>
        <w:t xml:space="preserve"> the Solicitors Act 1974 and CPR 46.9(2).  Assuming that </w:t>
      </w:r>
      <w:r w:rsidR="00B01F52">
        <w:rPr>
          <w:szCs w:val="24"/>
        </w:rPr>
        <w:t>a</w:t>
      </w:r>
      <w:r>
        <w:rPr>
          <w:szCs w:val="24"/>
        </w:rPr>
        <w:t xml:space="preserve"> solicitor’s costs are </w:t>
      </w:r>
      <w:r w:rsidR="00514C75">
        <w:rPr>
          <w:szCs w:val="24"/>
        </w:rPr>
        <w:t>not</w:t>
      </w:r>
      <w:r>
        <w:rPr>
          <w:szCs w:val="24"/>
        </w:rPr>
        <w:t xml:space="preserve"> so limited by virtue of those </w:t>
      </w:r>
      <w:r w:rsidR="00945343">
        <w:rPr>
          <w:szCs w:val="24"/>
        </w:rPr>
        <w:t>provisions</w:t>
      </w:r>
      <w:r>
        <w:rPr>
          <w:szCs w:val="24"/>
        </w:rPr>
        <w:t xml:space="preserve">, it is not the </w:t>
      </w:r>
      <w:r w:rsidR="00945343">
        <w:rPr>
          <w:szCs w:val="24"/>
        </w:rPr>
        <w:t>purpose</w:t>
      </w:r>
      <w:r>
        <w:rPr>
          <w:szCs w:val="24"/>
        </w:rPr>
        <w:t xml:space="preserve"> </w:t>
      </w:r>
      <w:r w:rsidR="00CF2FB8">
        <w:rPr>
          <w:szCs w:val="24"/>
        </w:rPr>
        <w:t>of</w:t>
      </w:r>
      <w:r>
        <w:rPr>
          <w:szCs w:val="24"/>
        </w:rPr>
        <w:t xml:space="preserve"> CPR 46.9(3)(c) to </w:t>
      </w:r>
      <w:r w:rsidR="009E1C17">
        <w:rPr>
          <w:szCs w:val="24"/>
        </w:rPr>
        <w:t>re</w:t>
      </w:r>
      <w:r>
        <w:rPr>
          <w:szCs w:val="24"/>
        </w:rPr>
        <w:t xml:space="preserve">introduce the same limit by a different route.  </w:t>
      </w:r>
    </w:p>
    <w:p w14:paraId="14FD2BF0" w14:textId="3D6BF36F" w:rsidR="00977F5D" w:rsidRPr="00977F5D" w:rsidRDefault="00977F5D" w:rsidP="00AC6944">
      <w:pPr>
        <w:pStyle w:val="ListParagraph"/>
        <w:spacing w:after="240" w:line="240" w:lineRule="auto"/>
        <w:contextualSpacing w:val="0"/>
        <w:jc w:val="both"/>
        <w:rPr>
          <w:b/>
          <w:bCs/>
          <w:i/>
          <w:iCs/>
          <w:szCs w:val="24"/>
        </w:rPr>
      </w:pPr>
      <w:r w:rsidRPr="00977F5D">
        <w:rPr>
          <w:b/>
          <w:bCs/>
          <w:i/>
          <w:iCs/>
          <w:szCs w:val="24"/>
        </w:rPr>
        <w:t xml:space="preserve">(5)(d) </w:t>
      </w:r>
      <w:r w:rsidR="00492E54">
        <w:rPr>
          <w:b/>
          <w:bCs/>
          <w:i/>
          <w:iCs/>
          <w:szCs w:val="24"/>
        </w:rPr>
        <w:t xml:space="preserve">Ground 1: </w:t>
      </w:r>
      <w:r w:rsidRPr="00977F5D">
        <w:rPr>
          <w:b/>
          <w:bCs/>
          <w:i/>
          <w:iCs/>
          <w:szCs w:val="24"/>
        </w:rPr>
        <w:t>CPR 46.9(3)</w:t>
      </w:r>
      <w:r>
        <w:rPr>
          <w:b/>
          <w:bCs/>
          <w:i/>
          <w:iCs/>
          <w:szCs w:val="24"/>
        </w:rPr>
        <w:t>(c)</w:t>
      </w:r>
      <w:r w:rsidRPr="00977F5D">
        <w:rPr>
          <w:b/>
          <w:bCs/>
          <w:i/>
          <w:iCs/>
          <w:szCs w:val="24"/>
        </w:rPr>
        <w:t>(ii)</w:t>
      </w:r>
    </w:p>
    <w:p w14:paraId="4BC2F2B1" w14:textId="5D50213B" w:rsidR="00B15DEB" w:rsidRDefault="00441272" w:rsidP="00AC6944">
      <w:pPr>
        <w:pStyle w:val="ListParagraph"/>
        <w:numPr>
          <w:ilvl w:val="0"/>
          <w:numId w:val="15"/>
        </w:numPr>
        <w:spacing w:after="240" w:line="240" w:lineRule="auto"/>
        <w:contextualSpacing w:val="0"/>
        <w:jc w:val="both"/>
        <w:rPr>
          <w:szCs w:val="24"/>
        </w:rPr>
      </w:pPr>
      <w:r>
        <w:rPr>
          <w:szCs w:val="24"/>
        </w:rPr>
        <w:t xml:space="preserve">As for CPR </w:t>
      </w:r>
      <w:r w:rsidR="009E1C17">
        <w:rPr>
          <w:szCs w:val="24"/>
        </w:rPr>
        <w:t>4</w:t>
      </w:r>
      <w:r>
        <w:rPr>
          <w:szCs w:val="24"/>
        </w:rPr>
        <w:t>6.9(3)(c)(ii)</w:t>
      </w:r>
      <w:r w:rsidR="00933C52">
        <w:rPr>
          <w:szCs w:val="24"/>
        </w:rPr>
        <w:t xml:space="preserve">, </w:t>
      </w:r>
      <w:r w:rsidR="00A619E1">
        <w:rPr>
          <w:szCs w:val="24"/>
        </w:rPr>
        <w:t xml:space="preserve">the Defendant </w:t>
      </w:r>
      <w:r w:rsidR="000D5838">
        <w:rPr>
          <w:szCs w:val="24"/>
        </w:rPr>
        <w:t>told</w:t>
      </w:r>
      <w:r w:rsidR="00A619E1">
        <w:rPr>
          <w:szCs w:val="24"/>
        </w:rPr>
        <w:t xml:space="preserve"> the </w:t>
      </w:r>
      <w:r w:rsidR="00514C75">
        <w:rPr>
          <w:szCs w:val="24"/>
        </w:rPr>
        <w:t>Claimant</w:t>
      </w:r>
      <w:r w:rsidR="00A619E1">
        <w:rPr>
          <w:szCs w:val="24"/>
        </w:rPr>
        <w:t>, by</w:t>
      </w:r>
      <w:r w:rsidR="00933C52">
        <w:rPr>
          <w:szCs w:val="24"/>
        </w:rPr>
        <w:t xml:space="preserve"> paragraphs </w:t>
      </w:r>
      <w:r w:rsidR="00DF72CC">
        <w:rPr>
          <w:szCs w:val="24"/>
        </w:rPr>
        <w:t>3.2</w:t>
      </w:r>
      <w:r w:rsidR="00A619E1">
        <w:rPr>
          <w:szCs w:val="24"/>
        </w:rPr>
        <w:t xml:space="preserve">, </w:t>
      </w:r>
      <w:r w:rsidR="00DF72CC">
        <w:rPr>
          <w:szCs w:val="24"/>
        </w:rPr>
        <w:t xml:space="preserve">8.2 </w:t>
      </w:r>
      <w:r w:rsidR="00A619E1">
        <w:rPr>
          <w:szCs w:val="24"/>
        </w:rPr>
        <w:t>and</w:t>
      </w:r>
      <w:r w:rsidR="00DF72CC">
        <w:rPr>
          <w:szCs w:val="24"/>
        </w:rPr>
        <w:t xml:space="preserve"> 8.4 of the </w:t>
      </w:r>
      <w:proofErr w:type="gramStart"/>
      <w:r w:rsidR="00DF72CC">
        <w:rPr>
          <w:szCs w:val="24"/>
        </w:rPr>
        <w:t>document</w:t>
      </w:r>
      <w:proofErr w:type="gramEnd"/>
      <w:r w:rsidR="00DF72CC">
        <w:rPr>
          <w:szCs w:val="24"/>
        </w:rPr>
        <w:t xml:space="preserve"> headed</w:t>
      </w:r>
      <w:r w:rsidR="00D17B1E">
        <w:rPr>
          <w:szCs w:val="24"/>
        </w:rPr>
        <w:t>,</w:t>
      </w:r>
      <w:r w:rsidR="00DF72CC">
        <w:rPr>
          <w:szCs w:val="24"/>
        </w:rPr>
        <w:t xml:space="preserve"> “CFA: What You Need To Know” that </w:t>
      </w:r>
      <w:r w:rsidR="00A619E1">
        <w:rPr>
          <w:szCs w:val="24"/>
        </w:rPr>
        <w:t xml:space="preserve">the Defendant’s costs might not </w:t>
      </w:r>
      <w:r w:rsidR="00945343">
        <w:rPr>
          <w:szCs w:val="24"/>
        </w:rPr>
        <w:t>be</w:t>
      </w:r>
      <w:r w:rsidR="00A619E1">
        <w:rPr>
          <w:szCs w:val="24"/>
        </w:rPr>
        <w:t xml:space="preserve"> recovered from Aviva. </w:t>
      </w:r>
      <w:r w:rsidR="00DF72CC">
        <w:rPr>
          <w:szCs w:val="24"/>
        </w:rPr>
        <w:t xml:space="preserve"> </w:t>
      </w:r>
      <w:r w:rsidR="000D5838">
        <w:rPr>
          <w:szCs w:val="24"/>
        </w:rPr>
        <w:t xml:space="preserve">Moreover, paragraph 3.2 </w:t>
      </w:r>
      <w:r w:rsidR="00885D28">
        <w:rPr>
          <w:szCs w:val="24"/>
        </w:rPr>
        <w:t xml:space="preserve">stated that this was because the hourly rates when multiplied by the number </w:t>
      </w:r>
      <w:r w:rsidR="00CF2FB8">
        <w:rPr>
          <w:szCs w:val="24"/>
        </w:rPr>
        <w:t>of</w:t>
      </w:r>
      <w:r w:rsidR="00885D28">
        <w:rPr>
          <w:szCs w:val="24"/>
        </w:rPr>
        <w:t xml:space="preserve"> hours charged would exceed the fixed fees payable by A</w:t>
      </w:r>
      <w:r w:rsidR="00744293">
        <w:rPr>
          <w:szCs w:val="24"/>
        </w:rPr>
        <w:t xml:space="preserve">viva.  Mr Marven </w:t>
      </w:r>
      <w:r w:rsidR="00945343">
        <w:rPr>
          <w:szCs w:val="24"/>
        </w:rPr>
        <w:t>submitted</w:t>
      </w:r>
      <w:r w:rsidR="00744293">
        <w:rPr>
          <w:szCs w:val="24"/>
        </w:rPr>
        <w:t xml:space="preserve"> that this was sufficient to </w:t>
      </w:r>
      <w:r w:rsidR="00945343">
        <w:rPr>
          <w:szCs w:val="24"/>
        </w:rPr>
        <w:t>mean</w:t>
      </w:r>
      <w:r w:rsidR="00744293">
        <w:rPr>
          <w:szCs w:val="24"/>
        </w:rPr>
        <w:t xml:space="preserve"> that CPR 46.9</w:t>
      </w:r>
      <w:r w:rsidR="009E1C17">
        <w:rPr>
          <w:szCs w:val="24"/>
        </w:rPr>
        <w:t>(3)(c)</w:t>
      </w:r>
      <w:r w:rsidR="00744293">
        <w:rPr>
          <w:szCs w:val="24"/>
        </w:rPr>
        <w:t>(ii) was not satisfied.</w:t>
      </w:r>
    </w:p>
    <w:p w14:paraId="4F9C303C" w14:textId="75EAD168" w:rsidR="00744293" w:rsidRDefault="00744293" w:rsidP="00AC6944">
      <w:pPr>
        <w:pStyle w:val="ListParagraph"/>
        <w:numPr>
          <w:ilvl w:val="0"/>
          <w:numId w:val="15"/>
        </w:numPr>
        <w:spacing w:after="240" w:line="240" w:lineRule="auto"/>
        <w:contextualSpacing w:val="0"/>
        <w:jc w:val="both"/>
        <w:rPr>
          <w:szCs w:val="24"/>
        </w:rPr>
      </w:pPr>
      <w:r>
        <w:rPr>
          <w:szCs w:val="24"/>
        </w:rPr>
        <w:t xml:space="preserve">The </w:t>
      </w:r>
      <w:r w:rsidR="009E1C17">
        <w:rPr>
          <w:szCs w:val="24"/>
        </w:rPr>
        <w:t>d</w:t>
      </w:r>
      <w:r w:rsidR="00E57DAB">
        <w:rPr>
          <w:szCs w:val="24"/>
        </w:rPr>
        <w:t>istrict</w:t>
      </w:r>
      <w:r>
        <w:rPr>
          <w:szCs w:val="24"/>
        </w:rPr>
        <w:t xml:space="preserve"> </w:t>
      </w:r>
      <w:r w:rsidR="009E1C17">
        <w:rPr>
          <w:szCs w:val="24"/>
        </w:rPr>
        <w:t>j</w:t>
      </w:r>
      <w:r w:rsidR="00E57DAB">
        <w:rPr>
          <w:szCs w:val="24"/>
        </w:rPr>
        <w:t>udge</w:t>
      </w:r>
      <w:r>
        <w:rPr>
          <w:szCs w:val="24"/>
        </w:rPr>
        <w:t xml:space="preserve"> took the view that informed consent was relevant for the </w:t>
      </w:r>
      <w:r w:rsidR="00945343">
        <w:rPr>
          <w:szCs w:val="24"/>
        </w:rPr>
        <w:t>purposes</w:t>
      </w:r>
      <w:r>
        <w:rPr>
          <w:szCs w:val="24"/>
        </w:rPr>
        <w:t xml:space="preserve"> </w:t>
      </w:r>
      <w:r w:rsidR="00CF2FB8">
        <w:rPr>
          <w:szCs w:val="24"/>
        </w:rPr>
        <w:t>of</w:t>
      </w:r>
      <w:r>
        <w:rPr>
          <w:szCs w:val="24"/>
        </w:rPr>
        <w:t xml:space="preserve"> CPR 46.9</w:t>
      </w:r>
      <w:r w:rsidR="004C3ED3">
        <w:rPr>
          <w:szCs w:val="24"/>
        </w:rPr>
        <w:t>(</w:t>
      </w:r>
      <w:r w:rsidR="009E1C17">
        <w:rPr>
          <w:szCs w:val="24"/>
        </w:rPr>
        <w:t>3)(</w:t>
      </w:r>
      <w:r w:rsidR="004C3ED3">
        <w:rPr>
          <w:szCs w:val="24"/>
        </w:rPr>
        <w:t>c)</w:t>
      </w:r>
      <w:r>
        <w:rPr>
          <w:szCs w:val="24"/>
        </w:rPr>
        <w:t>(ii)</w:t>
      </w:r>
      <w:r w:rsidR="004C3ED3">
        <w:rPr>
          <w:szCs w:val="24"/>
        </w:rPr>
        <w:t xml:space="preserve">, in the sense that a solicitor who argued that he had </w:t>
      </w:r>
      <w:r w:rsidR="004C3ED3" w:rsidRPr="004C3ED3">
        <w:rPr>
          <w:szCs w:val="24"/>
          <w:u w:val="single"/>
        </w:rPr>
        <w:t>told</w:t>
      </w:r>
      <w:r w:rsidR="004C3ED3">
        <w:rPr>
          <w:szCs w:val="24"/>
        </w:rPr>
        <w:t xml:space="preserve"> his client that</w:t>
      </w:r>
      <w:r w:rsidR="009E1C17">
        <w:rPr>
          <w:szCs w:val="24"/>
        </w:rPr>
        <w:t>,</w:t>
      </w:r>
      <w:r w:rsidR="004C3ED3">
        <w:rPr>
          <w:szCs w:val="24"/>
        </w:rPr>
        <w:t xml:space="preserve"> as a result </w:t>
      </w:r>
      <w:r w:rsidR="00CF2FB8">
        <w:rPr>
          <w:szCs w:val="24"/>
        </w:rPr>
        <w:t>of</w:t>
      </w:r>
      <w:r w:rsidR="004C3ED3">
        <w:rPr>
          <w:szCs w:val="24"/>
        </w:rPr>
        <w:t xml:space="preserve"> their unusual nature or amount</w:t>
      </w:r>
      <w:r w:rsidR="009E1C17">
        <w:rPr>
          <w:szCs w:val="24"/>
        </w:rPr>
        <w:t>,</w:t>
      </w:r>
      <w:r w:rsidR="004C3ED3">
        <w:rPr>
          <w:szCs w:val="24"/>
        </w:rPr>
        <w:t xml:space="preserve"> the relevant costs might not be </w:t>
      </w:r>
      <w:r w:rsidR="00945343">
        <w:rPr>
          <w:szCs w:val="24"/>
        </w:rPr>
        <w:t>recovered</w:t>
      </w:r>
      <w:r w:rsidR="004C3ED3">
        <w:rPr>
          <w:szCs w:val="24"/>
        </w:rPr>
        <w:t xml:space="preserve"> from the other party had to show not merely that he had </w:t>
      </w:r>
      <w:r w:rsidR="004C3ED3" w:rsidRPr="00217CA0">
        <w:rPr>
          <w:szCs w:val="24"/>
          <w:u w:val="single"/>
        </w:rPr>
        <w:t>told</w:t>
      </w:r>
      <w:r w:rsidR="004C3ED3">
        <w:rPr>
          <w:szCs w:val="24"/>
        </w:rPr>
        <w:t xml:space="preserve"> his client that, bu</w:t>
      </w:r>
      <w:r w:rsidR="009E1C17">
        <w:rPr>
          <w:szCs w:val="24"/>
        </w:rPr>
        <w:t>t</w:t>
      </w:r>
      <w:r w:rsidR="004C3ED3">
        <w:rPr>
          <w:szCs w:val="24"/>
        </w:rPr>
        <w:t xml:space="preserve"> that he </w:t>
      </w:r>
      <w:r w:rsidR="00217CA0">
        <w:rPr>
          <w:szCs w:val="24"/>
        </w:rPr>
        <w:t xml:space="preserve">had </w:t>
      </w:r>
      <w:r w:rsidR="004C3ED3">
        <w:rPr>
          <w:szCs w:val="24"/>
        </w:rPr>
        <w:t xml:space="preserve">obtained his client’s </w:t>
      </w:r>
      <w:r w:rsidR="004C3ED3" w:rsidRPr="00217CA0">
        <w:rPr>
          <w:szCs w:val="24"/>
          <w:u w:val="single"/>
        </w:rPr>
        <w:t>informed consent</w:t>
      </w:r>
      <w:r w:rsidR="004C3ED3">
        <w:rPr>
          <w:szCs w:val="24"/>
        </w:rPr>
        <w:t xml:space="preserve"> to it.   </w:t>
      </w:r>
    </w:p>
    <w:p w14:paraId="38733E3B" w14:textId="1C1C8A2B" w:rsidR="004C3ED3" w:rsidRDefault="004C3ED3" w:rsidP="00AC6944">
      <w:pPr>
        <w:pStyle w:val="ListParagraph"/>
        <w:numPr>
          <w:ilvl w:val="0"/>
          <w:numId w:val="15"/>
        </w:numPr>
        <w:spacing w:after="240" w:line="240" w:lineRule="auto"/>
        <w:contextualSpacing w:val="0"/>
        <w:jc w:val="both"/>
        <w:rPr>
          <w:szCs w:val="24"/>
        </w:rPr>
      </w:pPr>
      <w:r>
        <w:rPr>
          <w:szCs w:val="24"/>
        </w:rPr>
        <w:t>I note, however, that there is no authority to this effect:</w:t>
      </w:r>
    </w:p>
    <w:p w14:paraId="1B7E9532" w14:textId="4A88FCFA" w:rsidR="004C3ED3" w:rsidRDefault="004C3ED3" w:rsidP="00AC6944">
      <w:pPr>
        <w:pStyle w:val="ListParagraph"/>
        <w:numPr>
          <w:ilvl w:val="1"/>
          <w:numId w:val="15"/>
        </w:numPr>
        <w:spacing w:after="240" w:line="240" w:lineRule="auto"/>
        <w:contextualSpacing w:val="0"/>
        <w:jc w:val="both"/>
        <w:rPr>
          <w:szCs w:val="24"/>
        </w:rPr>
      </w:pPr>
      <w:r>
        <w:rPr>
          <w:i/>
          <w:iCs/>
          <w:szCs w:val="24"/>
        </w:rPr>
        <w:t xml:space="preserve">MacDougall v Boote Edgar Esterkin </w:t>
      </w:r>
      <w:r>
        <w:rPr>
          <w:szCs w:val="24"/>
        </w:rPr>
        <w:t>[2001] 1 Costs LR 118 con</w:t>
      </w:r>
      <w:r w:rsidR="00945343">
        <w:rPr>
          <w:szCs w:val="24"/>
        </w:rPr>
        <w:t>c</w:t>
      </w:r>
      <w:r>
        <w:rPr>
          <w:szCs w:val="24"/>
        </w:rPr>
        <w:t>er</w:t>
      </w:r>
      <w:r w:rsidR="00945343">
        <w:rPr>
          <w:szCs w:val="24"/>
        </w:rPr>
        <w:t>n</w:t>
      </w:r>
      <w:r>
        <w:rPr>
          <w:szCs w:val="24"/>
        </w:rPr>
        <w:t>ed the need for informed consent when a solicitor sought to rely on the predecessor of CPR 46.9(3)(b).</w:t>
      </w:r>
    </w:p>
    <w:p w14:paraId="21511B9D" w14:textId="4CCB167B" w:rsidR="004C3ED3" w:rsidRDefault="004C3ED3" w:rsidP="00AC6944">
      <w:pPr>
        <w:pStyle w:val="ListParagraph"/>
        <w:numPr>
          <w:ilvl w:val="1"/>
          <w:numId w:val="15"/>
        </w:numPr>
        <w:spacing w:after="240" w:line="240" w:lineRule="auto"/>
        <w:contextualSpacing w:val="0"/>
        <w:jc w:val="both"/>
        <w:rPr>
          <w:szCs w:val="24"/>
        </w:rPr>
      </w:pPr>
      <w:r>
        <w:rPr>
          <w:i/>
          <w:iCs/>
          <w:szCs w:val="24"/>
        </w:rPr>
        <w:t xml:space="preserve">Herbert v HH Law Ltd </w:t>
      </w:r>
      <w:r>
        <w:rPr>
          <w:szCs w:val="24"/>
        </w:rPr>
        <w:t xml:space="preserve">[2019] 1 WLR 4253 </w:t>
      </w:r>
      <w:r w:rsidR="00945343">
        <w:rPr>
          <w:szCs w:val="24"/>
        </w:rPr>
        <w:t>concerned</w:t>
      </w:r>
      <w:r>
        <w:rPr>
          <w:szCs w:val="24"/>
        </w:rPr>
        <w:t xml:space="preserve"> the need for informed consent when a solicitor sought to rely on CPR 46.9(3)(a) &amp; (b).</w:t>
      </w:r>
    </w:p>
    <w:p w14:paraId="0DED53EA" w14:textId="3D7EC442" w:rsidR="004C3ED3" w:rsidRDefault="004C3ED3" w:rsidP="00AC6944">
      <w:pPr>
        <w:pStyle w:val="ListParagraph"/>
        <w:numPr>
          <w:ilvl w:val="1"/>
          <w:numId w:val="15"/>
        </w:numPr>
        <w:spacing w:after="240" w:line="240" w:lineRule="auto"/>
        <w:contextualSpacing w:val="0"/>
        <w:jc w:val="both"/>
        <w:rPr>
          <w:szCs w:val="24"/>
        </w:rPr>
      </w:pPr>
      <w:r>
        <w:rPr>
          <w:szCs w:val="24"/>
        </w:rPr>
        <w:t xml:space="preserve">My decision in </w:t>
      </w:r>
      <w:r>
        <w:rPr>
          <w:i/>
          <w:iCs/>
          <w:szCs w:val="24"/>
        </w:rPr>
        <w:t xml:space="preserve">Belsner v Cam Legal Services Ltd </w:t>
      </w:r>
      <w:r>
        <w:rPr>
          <w:szCs w:val="24"/>
        </w:rPr>
        <w:t xml:space="preserve">concerned the need for informed consent </w:t>
      </w:r>
      <w:r w:rsidR="00945343">
        <w:rPr>
          <w:szCs w:val="24"/>
        </w:rPr>
        <w:t>when</w:t>
      </w:r>
      <w:r>
        <w:rPr>
          <w:szCs w:val="24"/>
        </w:rPr>
        <w:t xml:space="preserve"> a solicitor sought to rely on CPR 46.9(2) </w:t>
      </w:r>
    </w:p>
    <w:p w14:paraId="670DEBD0" w14:textId="0739AE09" w:rsidR="004C3ED3" w:rsidRDefault="000E4278" w:rsidP="00AC6944">
      <w:pPr>
        <w:pStyle w:val="ListParagraph"/>
        <w:numPr>
          <w:ilvl w:val="0"/>
          <w:numId w:val="15"/>
        </w:numPr>
        <w:spacing w:after="240" w:line="240" w:lineRule="auto"/>
        <w:contextualSpacing w:val="0"/>
        <w:jc w:val="both"/>
        <w:rPr>
          <w:szCs w:val="24"/>
        </w:rPr>
      </w:pPr>
      <w:r>
        <w:rPr>
          <w:szCs w:val="24"/>
        </w:rPr>
        <w:t xml:space="preserve">Indeed, the parties to </w:t>
      </w:r>
      <w:r w:rsidRPr="000E4278">
        <w:rPr>
          <w:i/>
          <w:iCs/>
          <w:szCs w:val="24"/>
        </w:rPr>
        <w:t>Herbert v HH Law Ltd</w:t>
      </w:r>
      <w:r>
        <w:rPr>
          <w:szCs w:val="24"/>
        </w:rPr>
        <w:t xml:space="preserve"> appear to have proceeded on the basis that informed consent was not relevant to CPR 46.9(3)</w:t>
      </w:r>
      <w:r w:rsidR="00D17B1E">
        <w:rPr>
          <w:szCs w:val="24"/>
        </w:rPr>
        <w:t>(c)</w:t>
      </w:r>
      <w:r>
        <w:rPr>
          <w:szCs w:val="24"/>
        </w:rPr>
        <w:t>.  I</w:t>
      </w:r>
      <w:r w:rsidR="00217CA0">
        <w:rPr>
          <w:szCs w:val="24"/>
        </w:rPr>
        <w:t>n</w:t>
      </w:r>
      <w:r>
        <w:rPr>
          <w:szCs w:val="24"/>
        </w:rPr>
        <w:t xml:space="preserve"> paragraph 35 of his judgment, Sir Terence Etherton MR said as follows:</w:t>
      </w:r>
    </w:p>
    <w:p w14:paraId="27675BD1" w14:textId="0331033D" w:rsidR="000E4278" w:rsidRPr="000E4278" w:rsidRDefault="000E4278" w:rsidP="00AC6944">
      <w:pPr>
        <w:spacing w:after="240" w:line="240" w:lineRule="auto"/>
        <w:ind w:left="1440"/>
        <w:jc w:val="both"/>
        <w:rPr>
          <w:szCs w:val="24"/>
        </w:rPr>
      </w:pPr>
      <w:r>
        <w:rPr>
          <w:szCs w:val="24"/>
        </w:rPr>
        <w:t>“</w:t>
      </w:r>
      <w:r w:rsidRPr="000E4278">
        <w:rPr>
          <w:szCs w:val="24"/>
        </w:rPr>
        <w:t xml:space="preserve">There is no longer any dispute between the parties in relation to CPR r 46.9(3)(c). The </w:t>
      </w:r>
      <w:r w:rsidR="00E57DAB">
        <w:rPr>
          <w:szCs w:val="24"/>
        </w:rPr>
        <w:t>judge</w:t>
      </w:r>
      <w:r w:rsidRPr="000E4278">
        <w:rPr>
          <w:szCs w:val="24"/>
        </w:rPr>
        <w:t xml:space="preserve"> recorded (at para 27) that Mr Andrew Hogan, counsel for </w:t>
      </w:r>
      <w:r w:rsidRPr="000E4278">
        <w:rPr>
          <w:szCs w:val="24"/>
        </w:rPr>
        <w:lastRenderedPageBreak/>
        <w:t xml:space="preserve">HH before him and junior counsel for HH before us, accepted that an irrecoverable success fee could be regarded as a cost of an “unusual nature or amount” but had submitted that, as the retainer made it clear that the success fee could not be recovered from the other party, the condition in CPR r 46.9(3)(c)(ii) was not satisfied, and so there was no presumption under CPR r 46.9(3)(c) that it was unreasonably incurred. The </w:t>
      </w:r>
      <w:r w:rsidR="00E57DAB">
        <w:rPr>
          <w:szCs w:val="24"/>
        </w:rPr>
        <w:t>judge</w:t>
      </w:r>
      <w:r w:rsidRPr="000E4278">
        <w:rPr>
          <w:szCs w:val="24"/>
        </w:rPr>
        <w:t xml:space="preserve"> agreed with that submission: para 47. There is no respondent's notice challenging that decision.</w:t>
      </w:r>
      <w:r>
        <w:rPr>
          <w:szCs w:val="24"/>
        </w:rPr>
        <w:t>”</w:t>
      </w:r>
    </w:p>
    <w:p w14:paraId="374762D8" w14:textId="116AD0D3" w:rsidR="00D833D2" w:rsidRDefault="00D21C13" w:rsidP="00AC6944">
      <w:pPr>
        <w:pStyle w:val="ListParagraph"/>
        <w:numPr>
          <w:ilvl w:val="0"/>
          <w:numId w:val="15"/>
        </w:numPr>
        <w:spacing w:after="240" w:line="240" w:lineRule="auto"/>
        <w:contextualSpacing w:val="0"/>
        <w:jc w:val="both"/>
        <w:rPr>
          <w:szCs w:val="24"/>
        </w:rPr>
      </w:pPr>
      <w:r>
        <w:rPr>
          <w:szCs w:val="24"/>
        </w:rPr>
        <w:t xml:space="preserve">Mr Marven </w:t>
      </w:r>
      <w:r w:rsidR="00945343">
        <w:rPr>
          <w:szCs w:val="24"/>
        </w:rPr>
        <w:t>submitted</w:t>
      </w:r>
      <w:r>
        <w:rPr>
          <w:szCs w:val="24"/>
        </w:rPr>
        <w:t xml:space="preserve"> that informed </w:t>
      </w:r>
      <w:r w:rsidR="00945343">
        <w:rPr>
          <w:szCs w:val="24"/>
        </w:rPr>
        <w:t>consent</w:t>
      </w:r>
      <w:r>
        <w:rPr>
          <w:szCs w:val="24"/>
        </w:rPr>
        <w:t xml:space="preserve"> is irrelevant to </w:t>
      </w:r>
      <w:r w:rsidR="00217CA0">
        <w:rPr>
          <w:szCs w:val="24"/>
        </w:rPr>
        <w:t>CPR 46.9</w:t>
      </w:r>
      <w:r w:rsidR="00AF4D00">
        <w:rPr>
          <w:szCs w:val="24"/>
        </w:rPr>
        <w:t>(c)</w:t>
      </w:r>
      <w:r w:rsidR="00217CA0">
        <w:rPr>
          <w:szCs w:val="24"/>
        </w:rPr>
        <w:t>(ii).  I</w:t>
      </w:r>
      <w:r>
        <w:rPr>
          <w:szCs w:val="24"/>
        </w:rPr>
        <w:t xml:space="preserve">n my judgment, that is right.  </w:t>
      </w:r>
      <w:r w:rsidR="00063AF6">
        <w:rPr>
          <w:szCs w:val="24"/>
        </w:rPr>
        <w:t xml:space="preserve">The issue under CPR 46.9(c)(ii) is </w:t>
      </w:r>
      <w:r w:rsidR="00945343">
        <w:rPr>
          <w:szCs w:val="24"/>
        </w:rPr>
        <w:t>whether</w:t>
      </w:r>
      <w:r w:rsidR="00063AF6">
        <w:rPr>
          <w:szCs w:val="24"/>
        </w:rPr>
        <w:t xml:space="preserve"> or </w:t>
      </w:r>
      <w:r w:rsidR="00514C75">
        <w:rPr>
          <w:szCs w:val="24"/>
        </w:rPr>
        <w:t>not</w:t>
      </w:r>
      <w:r w:rsidR="00063AF6">
        <w:rPr>
          <w:szCs w:val="24"/>
        </w:rPr>
        <w:t xml:space="preserve"> the solicitor told his client what is there set out.  That issue </w:t>
      </w:r>
      <w:r w:rsidR="00945343">
        <w:rPr>
          <w:szCs w:val="24"/>
        </w:rPr>
        <w:t>concerns</w:t>
      </w:r>
      <w:r w:rsidR="00063AF6">
        <w:rPr>
          <w:szCs w:val="24"/>
        </w:rPr>
        <w:t xml:space="preserve"> </w:t>
      </w:r>
      <w:r w:rsidR="00945343">
        <w:rPr>
          <w:szCs w:val="24"/>
        </w:rPr>
        <w:t>w</w:t>
      </w:r>
      <w:r w:rsidR="00063AF6">
        <w:rPr>
          <w:szCs w:val="24"/>
        </w:rPr>
        <w:t xml:space="preserve">hat the solicitor </w:t>
      </w:r>
      <w:r w:rsidR="00945343">
        <w:rPr>
          <w:szCs w:val="24"/>
        </w:rPr>
        <w:t>sai</w:t>
      </w:r>
      <w:r w:rsidR="00063AF6">
        <w:rPr>
          <w:szCs w:val="24"/>
        </w:rPr>
        <w:t xml:space="preserve">d, </w:t>
      </w:r>
      <w:r w:rsidR="00514C75">
        <w:rPr>
          <w:szCs w:val="24"/>
        </w:rPr>
        <w:t>not</w:t>
      </w:r>
      <w:r w:rsidR="00063AF6">
        <w:rPr>
          <w:szCs w:val="24"/>
        </w:rPr>
        <w:t xml:space="preserve"> </w:t>
      </w:r>
      <w:r w:rsidR="00945343">
        <w:rPr>
          <w:szCs w:val="24"/>
        </w:rPr>
        <w:t>whether</w:t>
      </w:r>
      <w:r w:rsidR="00063AF6">
        <w:rPr>
          <w:szCs w:val="24"/>
        </w:rPr>
        <w:t xml:space="preserve"> the client agreed with or approved what the solicitor told him.  That issue is materially different from the issue </w:t>
      </w:r>
      <w:r w:rsidR="00945343">
        <w:rPr>
          <w:szCs w:val="24"/>
        </w:rPr>
        <w:t>under</w:t>
      </w:r>
      <w:r w:rsidR="00063AF6">
        <w:rPr>
          <w:szCs w:val="24"/>
        </w:rPr>
        <w:t xml:space="preserve"> CPR </w:t>
      </w:r>
      <w:r w:rsidR="00945343">
        <w:rPr>
          <w:szCs w:val="24"/>
        </w:rPr>
        <w:t xml:space="preserve">46.9(2) or </w:t>
      </w:r>
      <w:r w:rsidR="00063AF6">
        <w:rPr>
          <w:szCs w:val="24"/>
        </w:rPr>
        <w:t>46.9</w:t>
      </w:r>
      <w:r w:rsidR="005F3AFE">
        <w:rPr>
          <w:szCs w:val="24"/>
        </w:rPr>
        <w:t>(3)</w:t>
      </w:r>
      <w:r w:rsidR="00063AF6">
        <w:rPr>
          <w:szCs w:val="24"/>
        </w:rPr>
        <w:t xml:space="preserve">(a) &amp; (b), which </w:t>
      </w:r>
      <w:r w:rsidR="00514C75">
        <w:rPr>
          <w:szCs w:val="24"/>
        </w:rPr>
        <w:t>is</w:t>
      </w:r>
      <w:r w:rsidR="00063AF6">
        <w:rPr>
          <w:szCs w:val="24"/>
        </w:rPr>
        <w:t xml:space="preserve"> </w:t>
      </w:r>
      <w:r w:rsidR="00945343">
        <w:rPr>
          <w:szCs w:val="24"/>
        </w:rPr>
        <w:t>whether</w:t>
      </w:r>
      <w:r w:rsidR="00063AF6">
        <w:rPr>
          <w:szCs w:val="24"/>
        </w:rPr>
        <w:t xml:space="preserve"> the client </w:t>
      </w:r>
      <w:r w:rsidR="00945343">
        <w:rPr>
          <w:szCs w:val="24"/>
        </w:rPr>
        <w:t xml:space="preserve">agreed or </w:t>
      </w:r>
      <w:r w:rsidR="00063AF6">
        <w:rPr>
          <w:szCs w:val="24"/>
        </w:rPr>
        <w:t>approved something proposed by</w:t>
      </w:r>
      <w:r w:rsidR="00945343">
        <w:rPr>
          <w:szCs w:val="24"/>
        </w:rPr>
        <w:t xml:space="preserve"> the</w:t>
      </w:r>
      <w:r w:rsidR="00063AF6">
        <w:rPr>
          <w:szCs w:val="24"/>
        </w:rPr>
        <w:t xml:space="preserve"> solicitor.  The focus there is on what the client did, which </w:t>
      </w:r>
      <w:r w:rsidR="00514C75">
        <w:rPr>
          <w:szCs w:val="24"/>
        </w:rPr>
        <w:t>is</w:t>
      </w:r>
      <w:r w:rsidR="00063AF6">
        <w:rPr>
          <w:szCs w:val="24"/>
        </w:rPr>
        <w:t xml:space="preserve"> why it is relevant to consider </w:t>
      </w:r>
      <w:r w:rsidR="00945343">
        <w:rPr>
          <w:szCs w:val="24"/>
        </w:rPr>
        <w:t>whether</w:t>
      </w:r>
      <w:r w:rsidR="00063AF6">
        <w:rPr>
          <w:szCs w:val="24"/>
        </w:rPr>
        <w:t xml:space="preserve"> the </w:t>
      </w:r>
      <w:r w:rsidR="00945343">
        <w:rPr>
          <w:szCs w:val="24"/>
        </w:rPr>
        <w:t>client</w:t>
      </w:r>
      <w:r w:rsidR="00063AF6">
        <w:rPr>
          <w:szCs w:val="24"/>
        </w:rPr>
        <w:t xml:space="preserve"> gave informed consent to what was proposed.</w:t>
      </w:r>
    </w:p>
    <w:p w14:paraId="4592EB3F" w14:textId="1D043CA7" w:rsidR="000E4278" w:rsidRDefault="00D833D2" w:rsidP="00AC6944">
      <w:pPr>
        <w:pStyle w:val="ListParagraph"/>
        <w:numPr>
          <w:ilvl w:val="0"/>
          <w:numId w:val="15"/>
        </w:numPr>
        <w:spacing w:after="240" w:line="240" w:lineRule="auto"/>
        <w:contextualSpacing w:val="0"/>
        <w:jc w:val="both"/>
        <w:rPr>
          <w:szCs w:val="24"/>
        </w:rPr>
      </w:pPr>
      <w:r>
        <w:rPr>
          <w:szCs w:val="24"/>
        </w:rPr>
        <w:t xml:space="preserve">Accordingly, I conclude that the </w:t>
      </w:r>
      <w:r w:rsidR="00E57DAB">
        <w:rPr>
          <w:szCs w:val="24"/>
        </w:rPr>
        <w:t>district</w:t>
      </w:r>
      <w:r>
        <w:rPr>
          <w:szCs w:val="24"/>
        </w:rPr>
        <w:t xml:space="preserve"> </w:t>
      </w:r>
      <w:r w:rsidR="00E57DAB">
        <w:rPr>
          <w:szCs w:val="24"/>
        </w:rPr>
        <w:t>judge</w:t>
      </w:r>
      <w:r>
        <w:rPr>
          <w:szCs w:val="24"/>
        </w:rPr>
        <w:t xml:space="preserve"> was </w:t>
      </w:r>
      <w:r w:rsidR="00945343">
        <w:rPr>
          <w:szCs w:val="24"/>
        </w:rPr>
        <w:t>wrong</w:t>
      </w:r>
      <w:r>
        <w:rPr>
          <w:szCs w:val="24"/>
        </w:rPr>
        <w:t xml:space="preserve"> to decide that the presumption </w:t>
      </w:r>
      <w:r w:rsidR="00945343">
        <w:rPr>
          <w:szCs w:val="24"/>
        </w:rPr>
        <w:t>under</w:t>
      </w:r>
      <w:r>
        <w:rPr>
          <w:szCs w:val="24"/>
        </w:rPr>
        <w:t xml:space="preserve"> CPR 46.9(</w:t>
      </w:r>
      <w:r w:rsidR="00F95D55">
        <w:rPr>
          <w:szCs w:val="24"/>
        </w:rPr>
        <w:t xml:space="preserve">3)(c) arose in the </w:t>
      </w:r>
      <w:r w:rsidR="00945343">
        <w:rPr>
          <w:szCs w:val="24"/>
        </w:rPr>
        <w:t>present</w:t>
      </w:r>
      <w:r w:rsidR="00F95D55">
        <w:rPr>
          <w:szCs w:val="24"/>
        </w:rPr>
        <w:t xml:space="preserve"> </w:t>
      </w:r>
      <w:r w:rsidR="00945343">
        <w:rPr>
          <w:szCs w:val="24"/>
        </w:rPr>
        <w:t>case</w:t>
      </w:r>
      <w:r w:rsidR="00F95D55">
        <w:rPr>
          <w:szCs w:val="24"/>
        </w:rPr>
        <w:t>.</w:t>
      </w:r>
      <w:r w:rsidR="00063AF6">
        <w:rPr>
          <w:szCs w:val="24"/>
        </w:rPr>
        <w:t xml:space="preserve">  </w:t>
      </w:r>
    </w:p>
    <w:p w14:paraId="2EAAB5D8" w14:textId="7A38C86B" w:rsidR="00977F5D" w:rsidRPr="00977F5D" w:rsidRDefault="00D17B1E" w:rsidP="00AC6944">
      <w:pPr>
        <w:pStyle w:val="ListParagraph"/>
        <w:spacing w:after="240" w:line="240" w:lineRule="auto"/>
        <w:contextualSpacing w:val="0"/>
        <w:jc w:val="both"/>
        <w:rPr>
          <w:b/>
          <w:bCs/>
          <w:i/>
          <w:iCs/>
          <w:szCs w:val="24"/>
        </w:rPr>
      </w:pPr>
      <w:r>
        <w:rPr>
          <w:b/>
          <w:bCs/>
          <w:i/>
          <w:iCs/>
          <w:szCs w:val="24"/>
        </w:rPr>
        <w:t>(5)</w:t>
      </w:r>
      <w:r w:rsidR="00AC6944">
        <w:rPr>
          <w:b/>
          <w:bCs/>
          <w:i/>
          <w:iCs/>
          <w:szCs w:val="24"/>
        </w:rPr>
        <w:t>(e)</w:t>
      </w:r>
      <w:r>
        <w:rPr>
          <w:b/>
          <w:bCs/>
          <w:i/>
          <w:iCs/>
          <w:szCs w:val="24"/>
        </w:rPr>
        <w:t xml:space="preserve"> </w:t>
      </w:r>
      <w:r w:rsidR="00492E54">
        <w:rPr>
          <w:b/>
          <w:bCs/>
          <w:i/>
          <w:iCs/>
          <w:szCs w:val="24"/>
        </w:rPr>
        <w:t xml:space="preserve">Ground 1: CPR </w:t>
      </w:r>
      <w:r w:rsidR="00977F5D">
        <w:rPr>
          <w:b/>
          <w:bCs/>
          <w:i/>
          <w:iCs/>
          <w:szCs w:val="24"/>
        </w:rPr>
        <w:t>46.9(3)</w:t>
      </w:r>
      <w:r w:rsidR="00F95D55">
        <w:rPr>
          <w:b/>
          <w:bCs/>
          <w:i/>
          <w:iCs/>
          <w:szCs w:val="24"/>
        </w:rPr>
        <w:t>(c)</w:t>
      </w:r>
      <w:r w:rsidR="00977F5D">
        <w:rPr>
          <w:b/>
          <w:bCs/>
          <w:i/>
          <w:iCs/>
          <w:szCs w:val="24"/>
        </w:rPr>
        <w:t xml:space="preserve"> and the Limitation Decision</w:t>
      </w:r>
    </w:p>
    <w:p w14:paraId="7E4CCC07" w14:textId="20B3EBF1" w:rsidR="00AF4D00" w:rsidRDefault="00063AF6" w:rsidP="00AC6944">
      <w:pPr>
        <w:pStyle w:val="ListParagraph"/>
        <w:numPr>
          <w:ilvl w:val="0"/>
          <w:numId w:val="15"/>
        </w:numPr>
        <w:spacing w:after="240" w:line="240" w:lineRule="auto"/>
        <w:contextualSpacing w:val="0"/>
        <w:jc w:val="both"/>
        <w:rPr>
          <w:szCs w:val="24"/>
        </w:rPr>
      </w:pPr>
      <w:r>
        <w:rPr>
          <w:szCs w:val="24"/>
        </w:rPr>
        <w:t>In any event, e</w:t>
      </w:r>
      <w:r w:rsidR="00217CA0">
        <w:rPr>
          <w:szCs w:val="24"/>
        </w:rPr>
        <w:t xml:space="preserve">ven if the </w:t>
      </w:r>
      <w:r w:rsidR="00BD0C48">
        <w:rPr>
          <w:szCs w:val="24"/>
        </w:rPr>
        <w:t>d</w:t>
      </w:r>
      <w:r w:rsidR="00E57DAB">
        <w:rPr>
          <w:szCs w:val="24"/>
        </w:rPr>
        <w:t>istrict</w:t>
      </w:r>
      <w:r w:rsidR="00217CA0">
        <w:rPr>
          <w:szCs w:val="24"/>
        </w:rPr>
        <w:t xml:space="preserve"> </w:t>
      </w:r>
      <w:r w:rsidR="00E57DAB">
        <w:rPr>
          <w:szCs w:val="24"/>
        </w:rPr>
        <w:t>judge</w:t>
      </w:r>
      <w:r w:rsidR="00217CA0">
        <w:rPr>
          <w:szCs w:val="24"/>
        </w:rPr>
        <w:t xml:space="preserve"> was right </w:t>
      </w:r>
      <w:r w:rsidR="00977F5D">
        <w:rPr>
          <w:szCs w:val="24"/>
        </w:rPr>
        <w:t>in his construction of CPR 46.9(3)(c)(ii)</w:t>
      </w:r>
      <w:r w:rsidR="00217CA0">
        <w:rPr>
          <w:szCs w:val="24"/>
        </w:rPr>
        <w:t xml:space="preserve">, and supposing that </w:t>
      </w:r>
      <w:r w:rsidR="00381697">
        <w:rPr>
          <w:szCs w:val="24"/>
        </w:rPr>
        <w:t>it was to b</w:t>
      </w:r>
      <w:r w:rsidR="00BD0C48">
        <w:rPr>
          <w:szCs w:val="24"/>
        </w:rPr>
        <w:t>e</w:t>
      </w:r>
      <w:r w:rsidR="00381697">
        <w:rPr>
          <w:szCs w:val="24"/>
        </w:rPr>
        <w:t xml:space="preserve"> </w:t>
      </w:r>
      <w:r w:rsidR="00217CA0">
        <w:rPr>
          <w:szCs w:val="24"/>
        </w:rPr>
        <w:t>presum</w:t>
      </w:r>
      <w:r w:rsidR="00381697">
        <w:rPr>
          <w:szCs w:val="24"/>
        </w:rPr>
        <w:t xml:space="preserve">ed under </w:t>
      </w:r>
      <w:r w:rsidR="00217CA0">
        <w:rPr>
          <w:szCs w:val="24"/>
        </w:rPr>
        <w:t>CPR 46.9(3</w:t>
      </w:r>
      <w:r w:rsidR="00381697">
        <w:rPr>
          <w:szCs w:val="24"/>
        </w:rPr>
        <w:t xml:space="preserve">)(c) that the </w:t>
      </w:r>
      <w:r w:rsidR="00945343">
        <w:rPr>
          <w:szCs w:val="24"/>
        </w:rPr>
        <w:t>Defendant’s</w:t>
      </w:r>
      <w:r w:rsidR="00381697">
        <w:rPr>
          <w:szCs w:val="24"/>
        </w:rPr>
        <w:t xml:space="preserve"> rate o</w:t>
      </w:r>
      <w:r w:rsidR="00BD0C48">
        <w:rPr>
          <w:szCs w:val="24"/>
        </w:rPr>
        <w:t>f</w:t>
      </w:r>
      <w:r w:rsidR="00381697">
        <w:rPr>
          <w:szCs w:val="24"/>
        </w:rPr>
        <w:t xml:space="preserve"> £161 </w:t>
      </w:r>
      <w:r w:rsidR="00BD0C48">
        <w:rPr>
          <w:szCs w:val="24"/>
        </w:rPr>
        <w:t xml:space="preserve">per hour </w:t>
      </w:r>
      <w:r w:rsidR="00381697">
        <w:rPr>
          <w:szCs w:val="24"/>
        </w:rPr>
        <w:t xml:space="preserve">was unreasonable, it does </w:t>
      </w:r>
      <w:r w:rsidR="00514C75">
        <w:rPr>
          <w:szCs w:val="24"/>
        </w:rPr>
        <w:t>not</w:t>
      </w:r>
      <w:r w:rsidR="00381697">
        <w:rPr>
          <w:szCs w:val="24"/>
        </w:rPr>
        <w:t xml:space="preserve"> follow that it was appropriate to limit the Defendant’s bas</w:t>
      </w:r>
      <w:r w:rsidR="00BD0C48">
        <w:rPr>
          <w:szCs w:val="24"/>
        </w:rPr>
        <w:t>e</w:t>
      </w:r>
      <w:r w:rsidR="00381697">
        <w:rPr>
          <w:szCs w:val="24"/>
        </w:rPr>
        <w:t xml:space="preserve"> costs to</w:t>
      </w:r>
      <w:r>
        <w:rPr>
          <w:szCs w:val="24"/>
        </w:rPr>
        <w:t xml:space="preserve"> </w:t>
      </w:r>
      <w:r w:rsidR="00381697">
        <w:rPr>
          <w:szCs w:val="24"/>
        </w:rPr>
        <w:t xml:space="preserve">the amount recovered from Aviva in respect </w:t>
      </w:r>
      <w:r w:rsidR="00CF2FB8">
        <w:rPr>
          <w:szCs w:val="24"/>
        </w:rPr>
        <w:t>of</w:t>
      </w:r>
      <w:r w:rsidR="00BD0C48">
        <w:rPr>
          <w:szCs w:val="24"/>
        </w:rPr>
        <w:t xml:space="preserve"> fixed</w:t>
      </w:r>
      <w:r w:rsidR="00381697">
        <w:rPr>
          <w:szCs w:val="24"/>
        </w:rPr>
        <w:t xml:space="preserve"> costs.  </w:t>
      </w:r>
      <w:r w:rsidR="00217CA0">
        <w:rPr>
          <w:szCs w:val="24"/>
        </w:rPr>
        <w:t xml:space="preserve">  </w:t>
      </w:r>
      <w:r w:rsidR="00AF4D00">
        <w:rPr>
          <w:szCs w:val="24"/>
        </w:rPr>
        <w:t>The effect of CPR 46.9(3)</w:t>
      </w:r>
      <w:r>
        <w:rPr>
          <w:szCs w:val="24"/>
        </w:rPr>
        <w:t>(c)</w:t>
      </w:r>
      <w:r w:rsidR="00AF4D00">
        <w:rPr>
          <w:szCs w:val="24"/>
        </w:rPr>
        <w:t>, where it</w:t>
      </w:r>
      <w:r w:rsidR="00773E8E">
        <w:rPr>
          <w:szCs w:val="24"/>
        </w:rPr>
        <w:t xml:space="preserve"> applies, i</w:t>
      </w:r>
      <w:r w:rsidR="00DE21E5">
        <w:rPr>
          <w:szCs w:val="24"/>
        </w:rPr>
        <w:t>s</w:t>
      </w:r>
      <w:r w:rsidR="00773E8E">
        <w:rPr>
          <w:szCs w:val="24"/>
        </w:rPr>
        <w:t xml:space="preserve"> to create, for the purposes </w:t>
      </w:r>
      <w:r w:rsidR="00CF2FB8">
        <w:rPr>
          <w:szCs w:val="24"/>
        </w:rPr>
        <w:t>of</w:t>
      </w:r>
      <w:r w:rsidR="00773E8E">
        <w:rPr>
          <w:szCs w:val="24"/>
        </w:rPr>
        <w:t xml:space="preserve"> an assessment </w:t>
      </w:r>
      <w:r w:rsidR="00CF2FB8">
        <w:rPr>
          <w:szCs w:val="24"/>
        </w:rPr>
        <w:t>of</w:t>
      </w:r>
      <w:r w:rsidR="00773E8E">
        <w:rPr>
          <w:szCs w:val="24"/>
        </w:rPr>
        <w:t xml:space="preserve"> costs on the indemnity basis, a presumption that certain costs were unreasonably incurred.  Where a solicitor </w:t>
      </w:r>
      <w:r w:rsidR="00945343">
        <w:rPr>
          <w:szCs w:val="24"/>
        </w:rPr>
        <w:t>claims</w:t>
      </w:r>
      <w:r w:rsidR="00773E8E">
        <w:rPr>
          <w:szCs w:val="24"/>
        </w:rPr>
        <w:t xml:space="preserve"> costs at an </w:t>
      </w:r>
      <w:r w:rsidR="00945343">
        <w:rPr>
          <w:szCs w:val="24"/>
        </w:rPr>
        <w:t>unreasonable</w:t>
      </w:r>
      <w:r w:rsidR="00773E8E">
        <w:rPr>
          <w:szCs w:val="24"/>
        </w:rPr>
        <w:t xml:space="preserve"> rate, the appropriate course on assessment </w:t>
      </w:r>
      <w:r w:rsidR="00531E0F">
        <w:rPr>
          <w:szCs w:val="24"/>
        </w:rPr>
        <w:t xml:space="preserve">on the </w:t>
      </w:r>
      <w:r w:rsidR="00945343">
        <w:rPr>
          <w:szCs w:val="24"/>
        </w:rPr>
        <w:t>indemnity</w:t>
      </w:r>
      <w:r w:rsidR="00531E0F">
        <w:rPr>
          <w:szCs w:val="24"/>
        </w:rPr>
        <w:t xml:space="preserve"> basis </w:t>
      </w:r>
      <w:r w:rsidR="00773E8E">
        <w:rPr>
          <w:szCs w:val="24"/>
        </w:rPr>
        <w:t xml:space="preserve">is usually to allow </w:t>
      </w:r>
      <w:r>
        <w:rPr>
          <w:szCs w:val="24"/>
        </w:rPr>
        <w:t xml:space="preserve">costs at </w:t>
      </w:r>
      <w:r w:rsidR="00773E8E">
        <w:rPr>
          <w:szCs w:val="24"/>
        </w:rPr>
        <w:t>a reasonable rate.</w:t>
      </w:r>
      <w:r>
        <w:rPr>
          <w:szCs w:val="24"/>
        </w:rPr>
        <w:t xml:space="preserve">  Assuming that it was reasonable for the work to be done (and the</w:t>
      </w:r>
      <w:r w:rsidR="00945343">
        <w:rPr>
          <w:szCs w:val="24"/>
        </w:rPr>
        <w:t>re was no challenge to the</w:t>
      </w:r>
      <w:r>
        <w:rPr>
          <w:szCs w:val="24"/>
        </w:rPr>
        <w:t xml:space="preserve"> </w:t>
      </w:r>
      <w:r w:rsidR="00E57DAB">
        <w:rPr>
          <w:szCs w:val="24"/>
        </w:rPr>
        <w:t>district</w:t>
      </w:r>
      <w:r>
        <w:rPr>
          <w:szCs w:val="24"/>
        </w:rPr>
        <w:t xml:space="preserve"> </w:t>
      </w:r>
      <w:r w:rsidR="00E57DAB">
        <w:rPr>
          <w:szCs w:val="24"/>
        </w:rPr>
        <w:t>judge</w:t>
      </w:r>
      <w:r w:rsidR="00945343">
        <w:rPr>
          <w:szCs w:val="24"/>
        </w:rPr>
        <w:t>’s</w:t>
      </w:r>
      <w:r>
        <w:rPr>
          <w:szCs w:val="24"/>
        </w:rPr>
        <w:t xml:space="preserve"> deci</w:t>
      </w:r>
      <w:r w:rsidR="00945343">
        <w:rPr>
          <w:szCs w:val="24"/>
        </w:rPr>
        <w:t>sion</w:t>
      </w:r>
      <w:r>
        <w:rPr>
          <w:szCs w:val="24"/>
        </w:rPr>
        <w:t xml:space="preserve"> that it was reasonable for 9 hours’ work to be don</w:t>
      </w:r>
      <w:r w:rsidR="00F95D55">
        <w:rPr>
          <w:szCs w:val="24"/>
        </w:rPr>
        <w:t>e</w:t>
      </w:r>
      <w:r>
        <w:rPr>
          <w:szCs w:val="24"/>
        </w:rPr>
        <w:t>), it is not unreasonable for the solicitor to b</w:t>
      </w:r>
      <w:r w:rsidR="00BD0C48">
        <w:rPr>
          <w:szCs w:val="24"/>
        </w:rPr>
        <w:t>e</w:t>
      </w:r>
      <w:r>
        <w:rPr>
          <w:szCs w:val="24"/>
        </w:rPr>
        <w:t xml:space="preserve"> paid for that work at a reasonable rate.</w:t>
      </w:r>
    </w:p>
    <w:p w14:paraId="33289BF7" w14:textId="57DAD636" w:rsidR="00773E8E" w:rsidRDefault="00773E8E" w:rsidP="00AC6944">
      <w:pPr>
        <w:pStyle w:val="ListParagraph"/>
        <w:numPr>
          <w:ilvl w:val="0"/>
          <w:numId w:val="15"/>
        </w:numPr>
        <w:spacing w:after="240" w:line="240" w:lineRule="auto"/>
        <w:contextualSpacing w:val="0"/>
        <w:jc w:val="both"/>
        <w:rPr>
          <w:szCs w:val="24"/>
        </w:rPr>
      </w:pPr>
      <w:r>
        <w:rPr>
          <w:szCs w:val="24"/>
        </w:rPr>
        <w:t xml:space="preserve">Moreover, in this case, the </w:t>
      </w:r>
      <w:r w:rsidR="00BD0C48">
        <w:rPr>
          <w:szCs w:val="24"/>
        </w:rPr>
        <w:t>d</w:t>
      </w:r>
      <w:r w:rsidR="00E57DAB">
        <w:rPr>
          <w:szCs w:val="24"/>
        </w:rPr>
        <w:t>istrict</w:t>
      </w:r>
      <w:r>
        <w:rPr>
          <w:szCs w:val="24"/>
        </w:rPr>
        <w:t xml:space="preserve"> </w:t>
      </w:r>
      <w:r w:rsidR="00BD0C48">
        <w:rPr>
          <w:szCs w:val="24"/>
        </w:rPr>
        <w:t>j</w:t>
      </w:r>
      <w:r w:rsidR="00E57DAB">
        <w:rPr>
          <w:szCs w:val="24"/>
        </w:rPr>
        <w:t>udge</w:t>
      </w:r>
      <w:r>
        <w:rPr>
          <w:szCs w:val="24"/>
        </w:rPr>
        <w:t xml:space="preserve"> had already, in deciding Point 3, decided that £161 per hour was an unreasonable rate and</w:t>
      </w:r>
      <w:r w:rsidR="00063AF6">
        <w:rPr>
          <w:szCs w:val="24"/>
        </w:rPr>
        <w:t xml:space="preserve"> </w:t>
      </w:r>
      <w:r w:rsidR="00CE762E">
        <w:rPr>
          <w:szCs w:val="24"/>
        </w:rPr>
        <w:t xml:space="preserve">had </w:t>
      </w:r>
      <w:r>
        <w:rPr>
          <w:szCs w:val="24"/>
        </w:rPr>
        <w:t xml:space="preserve">instead identified £120 per hour </w:t>
      </w:r>
      <w:r w:rsidR="00531E0F">
        <w:rPr>
          <w:szCs w:val="24"/>
        </w:rPr>
        <w:t xml:space="preserve">as a reasonable rate.  In </w:t>
      </w:r>
      <w:r w:rsidR="00945343">
        <w:rPr>
          <w:szCs w:val="24"/>
        </w:rPr>
        <w:t>the</w:t>
      </w:r>
      <w:r w:rsidR="00531E0F">
        <w:rPr>
          <w:szCs w:val="24"/>
        </w:rPr>
        <w:t xml:space="preserve"> light </w:t>
      </w:r>
      <w:r w:rsidR="00CF2FB8">
        <w:rPr>
          <w:szCs w:val="24"/>
        </w:rPr>
        <w:t>of</w:t>
      </w:r>
      <w:r w:rsidR="00531E0F">
        <w:rPr>
          <w:szCs w:val="24"/>
        </w:rPr>
        <w:t xml:space="preserve"> that decision:</w:t>
      </w:r>
    </w:p>
    <w:p w14:paraId="412B22EA" w14:textId="76FB71F1" w:rsidR="00531E0F" w:rsidRDefault="00531E0F" w:rsidP="00AC6944">
      <w:pPr>
        <w:pStyle w:val="ListParagraph"/>
        <w:numPr>
          <w:ilvl w:val="1"/>
          <w:numId w:val="15"/>
        </w:numPr>
        <w:spacing w:after="240" w:line="240" w:lineRule="auto"/>
        <w:contextualSpacing w:val="0"/>
        <w:jc w:val="both"/>
        <w:rPr>
          <w:szCs w:val="24"/>
        </w:rPr>
      </w:pPr>
      <w:r>
        <w:rPr>
          <w:szCs w:val="24"/>
        </w:rPr>
        <w:t xml:space="preserve">There was no need for the presumption in CPR 46.9(3)(c), since the </w:t>
      </w:r>
      <w:r w:rsidR="00BD0C48">
        <w:rPr>
          <w:szCs w:val="24"/>
        </w:rPr>
        <w:t>d</w:t>
      </w:r>
      <w:r w:rsidR="00E57DAB">
        <w:rPr>
          <w:szCs w:val="24"/>
        </w:rPr>
        <w:t>istrict</w:t>
      </w:r>
      <w:r>
        <w:rPr>
          <w:szCs w:val="24"/>
        </w:rPr>
        <w:t xml:space="preserve"> </w:t>
      </w:r>
      <w:r w:rsidR="00BD0C48">
        <w:rPr>
          <w:szCs w:val="24"/>
        </w:rPr>
        <w:t>j</w:t>
      </w:r>
      <w:r w:rsidR="00E57DAB">
        <w:rPr>
          <w:szCs w:val="24"/>
        </w:rPr>
        <w:t>udge</w:t>
      </w:r>
      <w:r>
        <w:rPr>
          <w:szCs w:val="24"/>
        </w:rPr>
        <w:t xml:space="preserve"> had already decided that £161 per hour was in fact an unreasonable rate.</w:t>
      </w:r>
    </w:p>
    <w:p w14:paraId="526067A5" w14:textId="1D917045" w:rsidR="00531E0F" w:rsidRDefault="00CE762E" w:rsidP="00AC6944">
      <w:pPr>
        <w:pStyle w:val="ListParagraph"/>
        <w:numPr>
          <w:ilvl w:val="1"/>
          <w:numId w:val="15"/>
        </w:numPr>
        <w:spacing w:after="240" w:line="240" w:lineRule="auto"/>
        <w:contextualSpacing w:val="0"/>
        <w:jc w:val="both"/>
        <w:rPr>
          <w:szCs w:val="24"/>
        </w:rPr>
      </w:pPr>
      <w:r>
        <w:rPr>
          <w:szCs w:val="24"/>
        </w:rPr>
        <w:t>Moreover, t</w:t>
      </w:r>
      <w:r w:rsidR="00531E0F">
        <w:rPr>
          <w:szCs w:val="24"/>
        </w:rPr>
        <w:t xml:space="preserve">he </w:t>
      </w:r>
      <w:r>
        <w:rPr>
          <w:szCs w:val="24"/>
        </w:rPr>
        <w:t>d</w:t>
      </w:r>
      <w:r w:rsidR="00E57DAB">
        <w:rPr>
          <w:szCs w:val="24"/>
        </w:rPr>
        <w:t>istrict</w:t>
      </w:r>
      <w:r w:rsidR="00531E0F">
        <w:rPr>
          <w:szCs w:val="24"/>
        </w:rPr>
        <w:t xml:space="preserve"> </w:t>
      </w:r>
      <w:r>
        <w:rPr>
          <w:szCs w:val="24"/>
        </w:rPr>
        <w:t>j</w:t>
      </w:r>
      <w:r w:rsidR="00E57DAB">
        <w:rPr>
          <w:szCs w:val="24"/>
        </w:rPr>
        <w:t>udge</w:t>
      </w:r>
      <w:r w:rsidR="00531E0F">
        <w:rPr>
          <w:szCs w:val="24"/>
        </w:rPr>
        <w:t xml:space="preserve"> had already decided the extent to</w:t>
      </w:r>
      <w:r w:rsidR="00945343">
        <w:rPr>
          <w:szCs w:val="24"/>
        </w:rPr>
        <w:t xml:space="preserve"> which</w:t>
      </w:r>
      <w:r w:rsidR="00531E0F">
        <w:rPr>
          <w:szCs w:val="24"/>
        </w:rPr>
        <w:t xml:space="preserve"> th</w:t>
      </w:r>
      <w:r w:rsidR="00BD0C48">
        <w:rPr>
          <w:szCs w:val="24"/>
        </w:rPr>
        <w:t>at</w:t>
      </w:r>
      <w:r w:rsidR="00531E0F">
        <w:rPr>
          <w:szCs w:val="24"/>
        </w:rPr>
        <w:t xml:space="preserve"> rate was unreasonable: it was unreasonable insofar as it exceeded £120 per hour</w:t>
      </w:r>
      <w:r w:rsidR="00063AF6">
        <w:rPr>
          <w:szCs w:val="24"/>
        </w:rPr>
        <w:t>, but no further</w:t>
      </w:r>
      <w:r w:rsidR="00531E0F">
        <w:rPr>
          <w:szCs w:val="24"/>
        </w:rPr>
        <w:t>.</w:t>
      </w:r>
    </w:p>
    <w:p w14:paraId="73BCEC29" w14:textId="28F87D00" w:rsidR="00531E0F" w:rsidRDefault="00531E0F" w:rsidP="00AC6944">
      <w:pPr>
        <w:pStyle w:val="ListParagraph"/>
        <w:numPr>
          <w:ilvl w:val="0"/>
          <w:numId w:val="15"/>
        </w:numPr>
        <w:spacing w:after="240" w:line="240" w:lineRule="auto"/>
        <w:contextualSpacing w:val="0"/>
        <w:jc w:val="both"/>
        <w:rPr>
          <w:szCs w:val="24"/>
        </w:rPr>
      </w:pPr>
      <w:r>
        <w:rPr>
          <w:szCs w:val="24"/>
        </w:rPr>
        <w:t xml:space="preserve">These considerations suggest that the </w:t>
      </w:r>
      <w:r w:rsidR="00BD0C48">
        <w:rPr>
          <w:szCs w:val="24"/>
        </w:rPr>
        <w:t>d</w:t>
      </w:r>
      <w:r w:rsidR="00E57DAB">
        <w:rPr>
          <w:szCs w:val="24"/>
        </w:rPr>
        <w:t>istrict</w:t>
      </w:r>
      <w:r>
        <w:rPr>
          <w:szCs w:val="24"/>
        </w:rPr>
        <w:t xml:space="preserve"> </w:t>
      </w:r>
      <w:r w:rsidR="00BD0C48">
        <w:rPr>
          <w:szCs w:val="24"/>
        </w:rPr>
        <w:t>j</w:t>
      </w:r>
      <w:r w:rsidR="00E57DAB">
        <w:rPr>
          <w:szCs w:val="24"/>
        </w:rPr>
        <w:t>udge</w:t>
      </w:r>
      <w:r>
        <w:rPr>
          <w:szCs w:val="24"/>
        </w:rPr>
        <w:t>, if he had found that the presumption applied, should have reduced the Defendant’s bas</w:t>
      </w:r>
      <w:r w:rsidR="00BD0C48">
        <w:rPr>
          <w:szCs w:val="24"/>
        </w:rPr>
        <w:t>e</w:t>
      </w:r>
      <w:r>
        <w:rPr>
          <w:szCs w:val="24"/>
        </w:rPr>
        <w:t xml:space="preserve"> c</w:t>
      </w:r>
      <w:r w:rsidR="00BD0C48">
        <w:rPr>
          <w:szCs w:val="24"/>
        </w:rPr>
        <w:t>ost</w:t>
      </w:r>
      <w:r>
        <w:rPr>
          <w:szCs w:val="24"/>
        </w:rPr>
        <w:t>s to £1,296 (i.e. 9 hours at £120 plus VAT per hour).</w:t>
      </w:r>
    </w:p>
    <w:p w14:paraId="178C36B0" w14:textId="4FD718F9" w:rsidR="00AF4D00" w:rsidRDefault="00AF4D00" w:rsidP="00AC6944">
      <w:pPr>
        <w:pStyle w:val="ListParagraph"/>
        <w:numPr>
          <w:ilvl w:val="0"/>
          <w:numId w:val="15"/>
        </w:numPr>
        <w:spacing w:after="240" w:line="240" w:lineRule="auto"/>
        <w:contextualSpacing w:val="0"/>
        <w:jc w:val="both"/>
        <w:rPr>
          <w:szCs w:val="24"/>
        </w:rPr>
      </w:pPr>
      <w:r>
        <w:rPr>
          <w:szCs w:val="24"/>
        </w:rPr>
        <w:lastRenderedPageBreak/>
        <w:t xml:space="preserve">The </w:t>
      </w:r>
      <w:r w:rsidR="00BD0C48">
        <w:rPr>
          <w:szCs w:val="24"/>
        </w:rPr>
        <w:t>d</w:t>
      </w:r>
      <w:r w:rsidR="00E57DAB">
        <w:rPr>
          <w:szCs w:val="24"/>
        </w:rPr>
        <w:t>istrict</w:t>
      </w:r>
      <w:r>
        <w:rPr>
          <w:szCs w:val="24"/>
        </w:rPr>
        <w:t xml:space="preserve"> </w:t>
      </w:r>
      <w:r w:rsidR="00BD0C48">
        <w:rPr>
          <w:szCs w:val="24"/>
        </w:rPr>
        <w:t>j</w:t>
      </w:r>
      <w:r w:rsidR="00E57DAB">
        <w:rPr>
          <w:szCs w:val="24"/>
        </w:rPr>
        <w:t>udge</w:t>
      </w:r>
      <w:r>
        <w:rPr>
          <w:szCs w:val="24"/>
        </w:rPr>
        <w:t xml:space="preserve"> did </w:t>
      </w:r>
      <w:r w:rsidR="00945343">
        <w:rPr>
          <w:szCs w:val="24"/>
        </w:rPr>
        <w:t>not</w:t>
      </w:r>
      <w:r>
        <w:rPr>
          <w:szCs w:val="24"/>
        </w:rPr>
        <w:t xml:space="preserve"> explain in hi</w:t>
      </w:r>
      <w:r w:rsidR="00945343">
        <w:rPr>
          <w:szCs w:val="24"/>
        </w:rPr>
        <w:t>s</w:t>
      </w:r>
      <w:r>
        <w:rPr>
          <w:szCs w:val="24"/>
        </w:rPr>
        <w:t xml:space="preserve"> judgment why he </w:t>
      </w:r>
      <w:r w:rsidR="00531E0F">
        <w:rPr>
          <w:szCs w:val="24"/>
        </w:rPr>
        <w:t xml:space="preserve">did </w:t>
      </w:r>
      <w:r w:rsidR="00514C75">
        <w:rPr>
          <w:szCs w:val="24"/>
        </w:rPr>
        <w:t>not</w:t>
      </w:r>
      <w:r w:rsidR="00531E0F">
        <w:rPr>
          <w:szCs w:val="24"/>
        </w:rPr>
        <w:t xml:space="preserve"> do that and why instead he </w:t>
      </w:r>
      <w:r w:rsidR="00945343">
        <w:rPr>
          <w:szCs w:val="24"/>
        </w:rPr>
        <w:t>considered</w:t>
      </w:r>
      <w:r>
        <w:rPr>
          <w:szCs w:val="24"/>
        </w:rPr>
        <w:t xml:space="preserve"> that the </w:t>
      </w:r>
      <w:r w:rsidR="00945343">
        <w:rPr>
          <w:szCs w:val="24"/>
        </w:rPr>
        <w:t>application</w:t>
      </w:r>
      <w:r>
        <w:rPr>
          <w:szCs w:val="24"/>
        </w:rPr>
        <w:t xml:space="preserve"> of the presumption provided for in CPR 46.9(3)(c) led to the limitation decision.  I have quoted the exchange in which Mr Marven asked the </w:t>
      </w:r>
      <w:r w:rsidR="00BD0C48">
        <w:rPr>
          <w:szCs w:val="24"/>
        </w:rPr>
        <w:t>district j</w:t>
      </w:r>
      <w:r w:rsidR="00E57DAB">
        <w:rPr>
          <w:szCs w:val="24"/>
        </w:rPr>
        <w:t>udge</w:t>
      </w:r>
      <w:r>
        <w:rPr>
          <w:szCs w:val="24"/>
        </w:rPr>
        <w:t xml:space="preserve"> to </w:t>
      </w:r>
      <w:r w:rsidR="00945343">
        <w:rPr>
          <w:szCs w:val="24"/>
        </w:rPr>
        <w:t>clarify</w:t>
      </w:r>
      <w:r>
        <w:rPr>
          <w:szCs w:val="24"/>
        </w:rPr>
        <w:t xml:space="preserve"> what he had decided.  The </w:t>
      </w:r>
      <w:r w:rsidR="00BD0C48">
        <w:rPr>
          <w:szCs w:val="24"/>
        </w:rPr>
        <w:t>d</w:t>
      </w:r>
      <w:r w:rsidR="00E57DAB">
        <w:rPr>
          <w:szCs w:val="24"/>
        </w:rPr>
        <w:t>istrict</w:t>
      </w:r>
      <w:r>
        <w:rPr>
          <w:szCs w:val="24"/>
        </w:rPr>
        <w:t xml:space="preserve"> </w:t>
      </w:r>
      <w:r w:rsidR="00BD0C48">
        <w:rPr>
          <w:szCs w:val="24"/>
        </w:rPr>
        <w:t>j</w:t>
      </w:r>
      <w:r w:rsidR="00E57DAB">
        <w:rPr>
          <w:szCs w:val="24"/>
        </w:rPr>
        <w:t>udge</w:t>
      </w:r>
      <w:r>
        <w:rPr>
          <w:szCs w:val="24"/>
        </w:rPr>
        <w:t xml:space="preserve"> agreed that the effect of his decision was the same whether: </w:t>
      </w:r>
    </w:p>
    <w:p w14:paraId="59BCBAF1" w14:textId="165BB38A" w:rsidR="00217CA0" w:rsidRDefault="00AF4D00" w:rsidP="00AC6944">
      <w:pPr>
        <w:pStyle w:val="ListParagraph"/>
        <w:numPr>
          <w:ilvl w:val="1"/>
          <w:numId w:val="15"/>
        </w:numPr>
        <w:spacing w:after="240" w:line="240" w:lineRule="auto"/>
        <w:contextualSpacing w:val="0"/>
        <w:jc w:val="both"/>
        <w:rPr>
          <w:szCs w:val="24"/>
        </w:rPr>
      </w:pPr>
      <w:r>
        <w:rPr>
          <w:szCs w:val="24"/>
        </w:rPr>
        <w:t xml:space="preserve">a claim form had been </w:t>
      </w:r>
      <w:r w:rsidR="00945343">
        <w:rPr>
          <w:szCs w:val="24"/>
        </w:rPr>
        <w:t>issued</w:t>
      </w:r>
      <w:r>
        <w:rPr>
          <w:szCs w:val="24"/>
        </w:rPr>
        <w:t xml:space="preserve">, in </w:t>
      </w:r>
      <w:r w:rsidR="00945343">
        <w:rPr>
          <w:szCs w:val="24"/>
        </w:rPr>
        <w:t xml:space="preserve">which </w:t>
      </w:r>
      <w:r>
        <w:rPr>
          <w:szCs w:val="24"/>
        </w:rPr>
        <w:t xml:space="preserve">case </w:t>
      </w:r>
      <w:r w:rsidR="00945343">
        <w:rPr>
          <w:szCs w:val="24"/>
        </w:rPr>
        <w:t>sub</w:t>
      </w:r>
      <w:r>
        <w:rPr>
          <w:szCs w:val="24"/>
        </w:rPr>
        <w:t>section 74(3) of the Solicitors Act 1974 applied; or</w:t>
      </w:r>
    </w:p>
    <w:p w14:paraId="6FE97C68" w14:textId="2CA3586D" w:rsidR="00AF4D00" w:rsidRDefault="00AF4D00" w:rsidP="00AC6944">
      <w:pPr>
        <w:pStyle w:val="ListParagraph"/>
        <w:numPr>
          <w:ilvl w:val="1"/>
          <w:numId w:val="15"/>
        </w:numPr>
        <w:spacing w:after="240" w:line="240" w:lineRule="auto"/>
        <w:contextualSpacing w:val="0"/>
        <w:jc w:val="both"/>
        <w:rPr>
          <w:szCs w:val="24"/>
        </w:rPr>
      </w:pPr>
      <w:r>
        <w:rPr>
          <w:szCs w:val="24"/>
        </w:rPr>
        <w:t xml:space="preserve">a claim form had not been </w:t>
      </w:r>
      <w:r w:rsidR="00945343">
        <w:rPr>
          <w:szCs w:val="24"/>
        </w:rPr>
        <w:t>issued</w:t>
      </w:r>
      <w:r>
        <w:rPr>
          <w:szCs w:val="24"/>
        </w:rPr>
        <w:t xml:space="preserve">, in which case </w:t>
      </w:r>
      <w:r w:rsidR="00BD0C48">
        <w:rPr>
          <w:szCs w:val="24"/>
        </w:rPr>
        <w:t>sub</w:t>
      </w:r>
      <w:r w:rsidR="00531E0F" w:rsidRPr="00531E0F">
        <w:rPr>
          <w:szCs w:val="24"/>
        </w:rPr>
        <w:t xml:space="preserve">section 74(3) of the Solicitors Act 1974 </w:t>
      </w:r>
      <w:r w:rsidR="00BD0C48">
        <w:rPr>
          <w:szCs w:val="24"/>
        </w:rPr>
        <w:t xml:space="preserve">did not apply, but he </w:t>
      </w:r>
      <w:r w:rsidR="00531E0F" w:rsidRPr="00531E0F">
        <w:rPr>
          <w:szCs w:val="24"/>
        </w:rPr>
        <w:t xml:space="preserve">applied </w:t>
      </w:r>
      <w:r>
        <w:rPr>
          <w:szCs w:val="24"/>
        </w:rPr>
        <w:t xml:space="preserve">the presumption in CPR 46.9(3)(c).  </w:t>
      </w:r>
    </w:p>
    <w:p w14:paraId="5D11B995" w14:textId="14EAA7A6" w:rsidR="00AF4D00" w:rsidRDefault="00531E0F" w:rsidP="00AC6944">
      <w:pPr>
        <w:pStyle w:val="ListParagraph"/>
        <w:numPr>
          <w:ilvl w:val="0"/>
          <w:numId w:val="15"/>
        </w:numPr>
        <w:spacing w:after="240" w:line="240" w:lineRule="auto"/>
        <w:contextualSpacing w:val="0"/>
        <w:jc w:val="both"/>
        <w:rPr>
          <w:szCs w:val="24"/>
        </w:rPr>
      </w:pPr>
      <w:r>
        <w:rPr>
          <w:szCs w:val="24"/>
        </w:rPr>
        <w:t xml:space="preserve">Immediately after providing that clarification, </w:t>
      </w:r>
      <w:r w:rsidR="00493AE0">
        <w:rPr>
          <w:szCs w:val="24"/>
        </w:rPr>
        <w:t xml:space="preserve">however, </w:t>
      </w:r>
      <w:r>
        <w:rPr>
          <w:szCs w:val="24"/>
        </w:rPr>
        <w:t xml:space="preserve">the </w:t>
      </w:r>
      <w:r w:rsidR="00BD0C48">
        <w:rPr>
          <w:szCs w:val="24"/>
        </w:rPr>
        <w:t>d</w:t>
      </w:r>
      <w:r w:rsidR="00E57DAB">
        <w:rPr>
          <w:szCs w:val="24"/>
        </w:rPr>
        <w:t>istrict</w:t>
      </w:r>
      <w:r>
        <w:rPr>
          <w:szCs w:val="24"/>
        </w:rPr>
        <w:t xml:space="preserve"> </w:t>
      </w:r>
      <w:r w:rsidR="00BD0C48">
        <w:rPr>
          <w:szCs w:val="24"/>
        </w:rPr>
        <w:t>j</w:t>
      </w:r>
      <w:r w:rsidR="00E57DAB">
        <w:rPr>
          <w:szCs w:val="24"/>
        </w:rPr>
        <w:t>udge</w:t>
      </w:r>
      <w:r>
        <w:rPr>
          <w:szCs w:val="24"/>
        </w:rPr>
        <w:t xml:space="preserve"> added:</w:t>
      </w:r>
    </w:p>
    <w:p w14:paraId="22424D7D" w14:textId="0C528654" w:rsidR="00531E0F" w:rsidRDefault="00531E0F" w:rsidP="00AC6944">
      <w:pPr>
        <w:pStyle w:val="ListParagraph"/>
        <w:spacing w:after="240" w:line="240" w:lineRule="auto"/>
        <w:ind w:left="1440"/>
        <w:contextualSpacing w:val="0"/>
        <w:jc w:val="both"/>
        <w:rPr>
          <w:szCs w:val="24"/>
        </w:rPr>
      </w:pPr>
      <w:r>
        <w:rPr>
          <w:szCs w:val="24"/>
        </w:rPr>
        <w:t xml:space="preserve">“And I keep my hourly rates as they </w:t>
      </w:r>
      <w:r w:rsidR="00945343">
        <w:rPr>
          <w:szCs w:val="24"/>
        </w:rPr>
        <w:t>a</w:t>
      </w:r>
      <w:r>
        <w:rPr>
          <w:szCs w:val="24"/>
        </w:rPr>
        <w:t>re, by the way.”</w:t>
      </w:r>
    </w:p>
    <w:p w14:paraId="0D3EE15E" w14:textId="56A39538" w:rsidR="00531E0F" w:rsidRDefault="00531E0F" w:rsidP="00AC6944">
      <w:pPr>
        <w:pStyle w:val="ListParagraph"/>
        <w:numPr>
          <w:ilvl w:val="0"/>
          <w:numId w:val="15"/>
        </w:numPr>
        <w:spacing w:after="240" w:line="240" w:lineRule="auto"/>
        <w:contextualSpacing w:val="0"/>
        <w:jc w:val="both"/>
        <w:rPr>
          <w:szCs w:val="24"/>
        </w:rPr>
      </w:pPr>
      <w:r>
        <w:rPr>
          <w:szCs w:val="24"/>
        </w:rPr>
        <w:t xml:space="preserve">That was a </w:t>
      </w:r>
      <w:r w:rsidR="00D17B1E">
        <w:rPr>
          <w:szCs w:val="24"/>
        </w:rPr>
        <w:t>deter</w:t>
      </w:r>
      <w:r>
        <w:rPr>
          <w:szCs w:val="24"/>
        </w:rPr>
        <w:t>m</w:t>
      </w:r>
      <w:r w:rsidR="00D17B1E">
        <w:rPr>
          <w:szCs w:val="24"/>
        </w:rPr>
        <w:t>in</w:t>
      </w:r>
      <w:r>
        <w:rPr>
          <w:szCs w:val="24"/>
        </w:rPr>
        <w:t xml:space="preserve">ation by the </w:t>
      </w:r>
      <w:r w:rsidR="00BD0C48">
        <w:rPr>
          <w:szCs w:val="24"/>
        </w:rPr>
        <w:t>d</w:t>
      </w:r>
      <w:r w:rsidR="00E57DAB">
        <w:rPr>
          <w:szCs w:val="24"/>
        </w:rPr>
        <w:t>istrict</w:t>
      </w:r>
      <w:r>
        <w:rPr>
          <w:szCs w:val="24"/>
        </w:rPr>
        <w:t xml:space="preserve"> </w:t>
      </w:r>
      <w:r w:rsidR="00BD0C48">
        <w:rPr>
          <w:szCs w:val="24"/>
        </w:rPr>
        <w:t>j</w:t>
      </w:r>
      <w:r w:rsidR="00E57DAB">
        <w:rPr>
          <w:szCs w:val="24"/>
        </w:rPr>
        <w:t>udge</w:t>
      </w:r>
      <w:r>
        <w:rPr>
          <w:szCs w:val="24"/>
        </w:rPr>
        <w:t xml:space="preserve"> that £120 per hour </w:t>
      </w:r>
      <w:r w:rsidR="00D17B1E">
        <w:rPr>
          <w:szCs w:val="24"/>
        </w:rPr>
        <w:t>was</w:t>
      </w:r>
      <w:r>
        <w:rPr>
          <w:szCs w:val="24"/>
        </w:rPr>
        <w:t xml:space="preserve"> a reasonable rate.  </w:t>
      </w:r>
    </w:p>
    <w:p w14:paraId="3B68F712" w14:textId="6F8CC52E" w:rsidR="00531E0F" w:rsidRDefault="00531E0F" w:rsidP="00AC6944">
      <w:pPr>
        <w:pStyle w:val="ListParagraph"/>
        <w:numPr>
          <w:ilvl w:val="0"/>
          <w:numId w:val="15"/>
        </w:numPr>
        <w:spacing w:after="240" w:line="240" w:lineRule="auto"/>
        <w:contextualSpacing w:val="0"/>
        <w:jc w:val="both"/>
        <w:rPr>
          <w:szCs w:val="24"/>
        </w:rPr>
      </w:pPr>
      <w:r>
        <w:rPr>
          <w:szCs w:val="24"/>
        </w:rPr>
        <w:t xml:space="preserve">Mr Shenton, on behalf </w:t>
      </w:r>
      <w:r w:rsidR="00CF2FB8">
        <w:rPr>
          <w:szCs w:val="24"/>
        </w:rPr>
        <w:t>of</w:t>
      </w:r>
      <w:r>
        <w:rPr>
          <w:szCs w:val="24"/>
        </w:rPr>
        <w:t xml:space="preserve"> the </w:t>
      </w:r>
      <w:r w:rsidR="00514C75">
        <w:rPr>
          <w:szCs w:val="24"/>
        </w:rPr>
        <w:t>Claimant</w:t>
      </w:r>
      <w:r>
        <w:rPr>
          <w:szCs w:val="24"/>
        </w:rPr>
        <w:t xml:space="preserve">, then prompted the </w:t>
      </w:r>
      <w:r w:rsidR="00BD0C48">
        <w:rPr>
          <w:szCs w:val="24"/>
        </w:rPr>
        <w:t>d</w:t>
      </w:r>
      <w:r w:rsidR="00E57DAB">
        <w:rPr>
          <w:szCs w:val="24"/>
        </w:rPr>
        <w:t>istrict</w:t>
      </w:r>
      <w:r>
        <w:rPr>
          <w:szCs w:val="24"/>
        </w:rPr>
        <w:t xml:space="preserve"> </w:t>
      </w:r>
      <w:r w:rsidR="00BD0C48">
        <w:rPr>
          <w:szCs w:val="24"/>
        </w:rPr>
        <w:t>j</w:t>
      </w:r>
      <w:r w:rsidR="00E57DAB">
        <w:rPr>
          <w:szCs w:val="24"/>
        </w:rPr>
        <w:t>udge</w:t>
      </w:r>
      <w:r>
        <w:rPr>
          <w:szCs w:val="24"/>
        </w:rPr>
        <w:t xml:space="preserve"> to say that the amount recovered from </w:t>
      </w:r>
      <w:r w:rsidR="00173C88">
        <w:rPr>
          <w:szCs w:val="24"/>
        </w:rPr>
        <w:t xml:space="preserve">Aviva in respect </w:t>
      </w:r>
      <w:r w:rsidR="00CF2FB8">
        <w:rPr>
          <w:szCs w:val="24"/>
        </w:rPr>
        <w:t>of</w:t>
      </w:r>
      <w:r w:rsidR="00173C88">
        <w:rPr>
          <w:szCs w:val="24"/>
        </w:rPr>
        <w:t xml:space="preserve"> bas</w:t>
      </w:r>
      <w:r w:rsidR="00BD0C48">
        <w:rPr>
          <w:szCs w:val="24"/>
        </w:rPr>
        <w:t>e</w:t>
      </w:r>
      <w:r w:rsidR="00173C88">
        <w:rPr>
          <w:szCs w:val="24"/>
        </w:rPr>
        <w:t xml:space="preserve"> costs was reasonable, but that was inconsistent with what the </w:t>
      </w:r>
      <w:r w:rsidR="00BD0C48">
        <w:rPr>
          <w:szCs w:val="24"/>
        </w:rPr>
        <w:t>d</w:t>
      </w:r>
      <w:r w:rsidR="00E57DAB">
        <w:rPr>
          <w:szCs w:val="24"/>
        </w:rPr>
        <w:t>istrict</w:t>
      </w:r>
      <w:r w:rsidR="00173C88">
        <w:rPr>
          <w:szCs w:val="24"/>
        </w:rPr>
        <w:t xml:space="preserve"> </w:t>
      </w:r>
      <w:r w:rsidR="00BD0C48">
        <w:rPr>
          <w:szCs w:val="24"/>
        </w:rPr>
        <w:t>j</w:t>
      </w:r>
      <w:r w:rsidR="00E57DAB">
        <w:rPr>
          <w:szCs w:val="24"/>
        </w:rPr>
        <w:t>udge</w:t>
      </w:r>
      <w:r w:rsidR="00173C88">
        <w:rPr>
          <w:szCs w:val="24"/>
        </w:rPr>
        <w:t xml:space="preserve"> had just decided about hourly rates.  The amount recovered from Aviva, £900, was </w:t>
      </w:r>
      <w:r w:rsidR="00945343">
        <w:rPr>
          <w:szCs w:val="24"/>
        </w:rPr>
        <w:t>equivalent</w:t>
      </w:r>
      <w:r w:rsidR="00173C88">
        <w:rPr>
          <w:szCs w:val="24"/>
        </w:rPr>
        <w:t xml:space="preserve"> to £750 plus VAT</w:t>
      </w:r>
      <w:r w:rsidR="00CE762E">
        <w:rPr>
          <w:szCs w:val="24"/>
        </w:rPr>
        <w:t>,</w:t>
      </w:r>
      <w:r w:rsidR="00173C88">
        <w:rPr>
          <w:szCs w:val="24"/>
        </w:rPr>
        <w:t xml:space="preserve"> which, as payment for 9 hours’ work, was equivalent to a rate of £83.33 per hour.</w:t>
      </w:r>
      <w:r w:rsidR="00BD0C48">
        <w:rPr>
          <w:szCs w:val="24"/>
        </w:rPr>
        <w:t xml:space="preserve">  Yet the district judge had just decided that £120 per hour was a reasonable rate (and, indeed, the Claimant had not argued for a lower rate).</w:t>
      </w:r>
    </w:p>
    <w:p w14:paraId="5E9A4BB8" w14:textId="5482C1DC" w:rsidR="00173C88" w:rsidRDefault="00173C88" w:rsidP="00AC6944">
      <w:pPr>
        <w:pStyle w:val="ListParagraph"/>
        <w:numPr>
          <w:ilvl w:val="0"/>
          <w:numId w:val="15"/>
        </w:numPr>
        <w:spacing w:after="240" w:line="240" w:lineRule="auto"/>
        <w:contextualSpacing w:val="0"/>
        <w:jc w:val="both"/>
        <w:rPr>
          <w:szCs w:val="24"/>
        </w:rPr>
      </w:pPr>
      <w:r>
        <w:rPr>
          <w:szCs w:val="24"/>
        </w:rPr>
        <w:t xml:space="preserve">Mr Kirby submitted that, in contending that the </w:t>
      </w:r>
      <w:r w:rsidR="00945343">
        <w:rPr>
          <w:szCs w:val="24"/>
        </w:rPr>
        <w:t>application</w:t>
      </w:r>
      <w:r>
        <w:rPr>
          <w:szCs w:val="24"/>
        </w:rPr>
        <w:t xml:space="preserve"> of the presumption in CPR 49.9(3)</w:t>
      </w:r>
      <w:r w:rsidR="00945343">
        <w:rPr>
          <w:szCs w:val="24"/>
        </w:rPr>
        <w:t>(c)</w:t>
      </w:r>
      <w:r>
        <w:rPr>
          <w:szCs w:val="24"/>
        </w:rPr>
        <w:t xml:space="preserve"> ought to have led the </w:t>
      </w:r>
      <w:r w:rsidR="004F5EA1">
        <w:rPr>
          <w:szCs w:val="24"/>
        </w:rPr>
        <w:t>d</w:t>
      </w:r>
      <w:r w:rsidR="00E57DAB">
        <w:rPr>
          <w:szCs w:val="24"/>
        </w:rPr>
        <w:t>istrict</w:t>
      </w:r>
      <w:r>
        <w:rPr>
          <w:szCs w:val="24"/>
        </w:rPr>
        <w:t xml:space="preserve"> </w:t>
      </w:r>
      <w:r w:rsidR="004F5EA1">
        <w:rPr>
          <w:szCs w:val="24"/>
        </w:rPr>
        <w:t>j</w:t>
      </w:r>
      <w:r w:rsidR="00E57DAB">
        <w:rPr>
          <w:szCs w:val="24"/>
        </w:rPr>
        <w:t>udge</w:t>
      </w:r>
      <w:r>
        <w:rPr>
          <w:szCs w:val="24"/>
        </w:rPr>
        <w:t xml:space="preserve"> to allow 9 hours’ work at £120 per hour, Mr Marven was </w:t>
      </w:r>
      <w:r w:rsidR="00945343">
        <w:rPr>
          <w:szCs w:val="24"/>
        </w:rPr>
        <w:t>raising</w:t>
      </w:r>
      <w:r>
        <w:rPr>
          <w:szCs w:val="24"/>
        </w:rPr>
        <w:t xml:space="preserve"> a point </w:t>
      </w:r>
      <w:r w:rsidR="00CE762E">
        <w:rPr>
          <w:szCs w:val="24"/>
        </w:rPr>
        <w:t xml:space="preserve">on appeal </w:t>
      </w:r>
      <w:r>
        <w:rPr>
          <w:szCs w:val="24"/>
        </w:rPr>
        <w:t xml:space="preserve">which </w:t>
      </w:r>
      <w:r w:rsidR="00CE762E">
        <w:rPr>
          <w:szCs w:val="24"/>
        </w:rPr>
        <w:t>had</w:t>
      </w:r>
      <w:r>
        <w:rPr>
          <w:szCs w:val="24"/>
        </w:rPr>
        <w:t xml:space="preserve"> not </w:t>
      </w:r>
      <w:r w:rsidR="00CE762E">
        <w:rPr>
          <w:szCs w:val="24"/>
        </w:rPr>
        <w:t xml:space="preserve">been </w:t>
      </w:r>
      <w:r>
        <w:rPr>
          <w:szCs w:val="24"/>
        </w:rPr>
        <w:t xml:space="preserve">raised before the </w:t>
      </w:r>
      <w:r w:rsidR="004F5EA1">
        <w:rPr>
          <w:szCs w:val="24"/>
        </w:rPr>
        <w:t>d</w:t>
      </w:r>
      <w:r w:rsidR="00E57DAB">
        <w:rPr>
          <w:szCs w:val="24"/>
        </w:rPr>
        <w:t>istrict</w:t>
      </w:r>
      <w:r>
        <w:rPr>
          <w:szCs w:val="24"/>
        </w:rPr>
        <w:t xml:space="preserve"> </w:t>
      </w:r>
      <w:r w:rsidR="00E57DAB">
        <w:rPr>
          <w:szCs w:val="24"/>
        </w:rPr>
        <w:t>judge</w:t>
      </w:r>
      <w:r>
        <w:rPr>
          <w:szCs w:val="24"/>
        </w:rPr>
        <w:t xml:space="preserve">.  However, I have quoted </w:t>
      </w:r>
      <w:r w:rsidR="00F95D55">
        <w:rPr>
          <w:szCs w:val="24"/>
        </w:rPr>
        <w:t xml:space="preserve">earlier in this judgment </w:t>
      </w:r>
      <w:r>
        <w:rPr>
          <w:szCs w:val="24"/>
        </w:rPr>
        <w:t>the passage from his submission</w:t>
      </w:r>
      <w:r w:rsidR="00F95D55">
        <w:rPr>
          <w:szCs w:val="24"/>
        </w:rPr>
        <w:t>s</w:t>
      </w:r>
      <w:r>
        <w:rPr>
          <w:szCs w:val="24"/>
        </w:rPr>
        <w:t xml:space="preserve"> in which Mr Marven raised this very point.</w:t>
      </w:r>
    </w:p>
    <w:p w14:paraId="5F031E81" w14:textId="57AF1EF2" w:rsidR="00173C88" w:rsidRDefault="00173C88" w:rsidP="00AC6944">
      <w:pPr>
        <w:pStyle w:val="ListParagraph"/>
        <w:numPr>
          <w:ilvl w:val="0"/>
          <w:numId w:val="15"/>
        </w:numPr>
        <w:spacing w:after="240" w:line="240" w:lineRule="auto"/>
        <w:contextualSpacing w:val="0"/>
        <w:jc w:val="both"/>
        <w:rPr>
          <w:szCs w:val="24"/>
        </w:rPr>
      </w:pPr>
      <w:r>
        <w:rPr>
          <w:szCs w:val="24"/>
        </w:rPr>
        <w:t xml:space="preserve">Mr Kirby </w:t>
      </w:r>
      <w:r w:rsidR="00945343">
        <w:rPr>
          <w:szCs w:val="24"/>
        </w:rPr>
        <w:t>also</w:t>
      </w:r>
      <w:r>
        <w:rPr>
          <w:szCs w:val="24"/>
        </w:rPr>
        <w:t xml:space="preserve"> submitted that the </w:t>
      </w:r>
      <w:r w:rsidR="004F5EA1">
        <w:rPr>
          <w:szCs w:val="24"/>
        </w:rPr>
        <w:t>d</w:t>
      </w:r>
      <w:r w:rsidR="00E57DAB">
        <w:rPr>
          <w:szCs w:val="24"/>
        </w:rPr>
        <w:t>istrict</w:t>
      </w:r>
      <w:r>
        <w:rPr>
          <w:szCs w:val="24"/>
        </w:rPr>
        <w:t xml:space="preserve"> </w:t>
      </w:r>
      <w:r w:rsidR="004F5EA1">
        <w:rPr>
          <w:szCs w:val="24"/>
        </w:rPr>
        <w:t>j</w:t>
      </w:r>
      <w:r w:rsidR="00E57DAB">
        <w:rPr>
          <w:szCs w:val="24"/>
        </w:rPr>
        <w:t>udge</w:t>
      </w:r>
      <w:r>
        <w:rPr>
          <w:szCs w:val="24"/>
        </w:rPr>
        <w:t xml:space="preserve"> was entitled, when applying the presumption, to decide that £900 (including VAT) was the appropriate </w:t>
      </w:r>
      <w:r w:rsidR="00945343">
        <w:rPr>
          <w:szCs w:val="24"/>
        </w:rPr>
        <w:t>amount</w:t>
      </w:r>
      <w:r>
        <w:rPr>
          <w:szCs w:val="24"/>
        </w:rPr>
        <w:t xml:space="preserve"> to allow for the </w:t>
      </w:r>
      <w:r w:rsidR="00945343">
        <w:rPr>
          <w:szCs w:val="24"/>
        </w:rPr>
        <w:t>Defendant’s</w:t>
      </w:r>
      <w:r>
        <w:rPr>
          <w:szCs w:val="24"/>
        </w:rPr>
        <w:t xml:space="preserve"> bas</w:t>
      </w:r>
      <w:r w:rsidR="004F5EA1">
        <w:rPr>
          <w:szCs w:val="24"/>
        </w:rPr>
        <w:t>e</w:t>
      </w:r>
      <w:r>
        <w:rPr>
          <w:szCs w:val="24"/>
        </w:rPr>
        <w:t xml:space="preserve"> costs, on the basis that it was, as the </w:t>
      </w:r>
      <w:r w:rsidR="004F5EA1">
        <w:rPr>
          <w:szCs w:val="24"/>
        </w:rPr>
        <w:t>d</w:t>
      </w:r>
      <w:r w:rsidR="00E57DAB">
        <w:rPr>
          <w:szCs w:val="24"/>
        </w:rPr>
        <w:t>istrict</w:t>
      </w:r>
      <w:r>
        <w:rPr>
          <w:szCs w:val="24"/>
        </w:rPr>
        <w:t xml:space="preserve"> </w:t>
      </w:r>
      <w:r w:rsidR="00E57DAB">
        <w:rPr>
          <w:szCs w:val="24"/>
        </w:rPr>
        <w:t>judge</w:t>
      </w:r>
      <w:r>
        <w:rPr>
          <w:szCs w:val="24"/>
        </w:rPr>
        <w:t xml:space="preserve"> said, a reasonable </w:t>
      </w:r>
      <w:r w:rsidR="00493AE0">
        <w:rPr>
          <w:szCs w:val="24"/>
        </w:rPr>
        <w:t xml:space="preserve">amount. </w:t>
      </w:r>
      <w:r w:rsidR="00D936AA">
        <w:rPr>
          <w:szCs w:val="24"/>
        </w:rPr>
        <w:t xml:space="preserve"> However, the </w:t>
      </w:r>
      <w:r w:rsidR="004F5EA1">
        <w:rPr>
          <w:szCs w:val="24"/>
        </w:rPr>
        <w:t>d</w:t>
      </w:r>
      <w:r w:rsidR="00E57DAB">
        <w:rPr>
          <w:szCs w:val="24"/>
        </w:rPr>
        <w:t>istrict</w:t>
      </w:r>
      <w:r w:rsidR="00D936AA">
        <w:rPr>
          <w:szCs w:val="24"/>
        </w:rPr>
        <w:t xml:space="preserve"> </w:t>
      </w:r>
      <w:r w:rsidR="004F5EA1">
        <w:rPr>
          <w:szCs w:val="24"/>
        </w:rPr>
        <w:t>j</w:t>
      </w:r>
      <w:r w:rsidR="00E57DAB">
        <w:rPr>
          <w:szCs w:val="24"/>
        </w:rPr>
        <w:t>udge</w:t>
      </w:r>
      <w:r w:rsidR="00D936AA">
        <w:rPr>
          <w:szCs w:val="24"/>
        </w:rPr>
        <w:t>’s statement, after giving judgment, and prompted by Mr Shenton, that £900 was a reasonable amount was incon</w:t>
      </w:r>
      <w:r w:rsidR="00DE21E5">
        <w:rPr>
          <w:szCs w:val="24"/>
        </w:rPr>
        <w:t>si</w:t>
      </w:r>
      <w:r w:rsidR="00D936AA">
        <w:rPr>
          <w:szCs w:val="24"/>
        </w:rPr>
        <w:t>st</w:t>
      </w:r>
      <w:r w:rsidR="00DE21E5">
        <w:rPr>
          <w:szCs w:val="24"/>
        </w:rPr>
        <w:t>e</w:t>
      </w:r>
      <w:r w:rsidR="00D936AA">
        <w:rPr>
          <w:szCs w:val="24"/>
        </w:rPr>
        <w:t xml:space="preserve">nt with his considered decision on Point 3 in the “on paper” assessment that it was reasonable to allow 9 hours at £120, a decision which was </w:t>
      </w:r>
      <w:r w:rsidR="00514C75">
        <w:rPr>
          <w:szCs w:val="24"/>
        </w:rPr>
        <w:t>not</w:t>
      </w:r>
      <w:r w:rsidR="00D936AA">
        <w:rPr>
          <w:szCs w:val="24"/>
        </w:rPr>
        <w:t xml:space="preserve"> even challenged by the </w:t>
      </w:r>
      <w:r w:rsidR="00514C75">
        <w:rPr>
          <w:szCs w:val="24"/>
        </w:rPr>
        <w:t>Claimant</w:t>
      </w:r>
      <w:r w:rsidR="00D936AA">
        <w:rPr>
          <w:szCs w:val="24"/>
        </w:rPr>
        <w:t xml:space="preserve"> and which, after hearing argument on the hourly rate, the </w:t>
      </w:r>
      <w:r w:rsidR="004F5EA1">
        <w:rPr>
          <w:szCs w:val="24"/>
        </w:rPr>
        <w:t>d</w:t>
      </w:r>
      <w:r w:rsidR="00E57DAB">
        <w:rPr>
          <w:szCs w:val="24"/>
        </w:rPr>
        <w:t>istrict</w:t>
      </w:r>
      <w:r w:rsidR="00D936AA">
        <w:rPr>
          <w:szCs w:val="24"/>
        </w:rPr>
        <w:t xml:space="preserve"> </w:t>
      </w:r>
      <w:r w:rsidR="00E57DAB">
        <w:rPr>
          <w:szCs w:val="24"/>
        </w:rPr>
        <w:t>judge</w:t>
      </w:r>
      <w:r w:rsidR="00D936AA">
        <w:rPr>
          <w:szCs w:val="24"/>
        </w:rPr>
        <w:t xml:space="preserve"> decided to uphold.</w:t>
      </w:r>
    </w:p>
    <w:p w14:paraId="74BF38C7" w14:textId="66C591D4" w:rsidR="00232F1F" w:rsidRDefault="00232F1F" w:rsidP="00AC6944">
      <w:pPr>
        <w:pStyle w:val="ListParagraph"/>
        <w:numPr>
          <w:ilvl w:val="0"/>
          <w:numId w:val="15"/>
        </w:numPr>
        <w:spacing w:after="240" w:line="240" w:lineRule="auto"/>
        <w:contextualSpacing w:val="0"/>
        <w:jc w:val="both"/>
        <w:rPr>
          <w:szCs w:val="24"/>
        </w:rPr>
      </w:pPr>
      <w:r>
        <w:rPr>
          <w:szCs w:val="24"/>
        </w:rPr>
        <w:t xml:space="preserve">While I accept that the </w:t>
      </w:r>
      <w:r w:rsidR="00E57DAB">
        <w:rPr>
          <w:szCs w:val="24"/>
        </w:rPr>
        <w:t>district</w:t>
      </w:r>
      <w:r>
        <w:rPr>
          <w:szCs w:val="24"/>
        </w:rPr>
        <w:t xml:space="preserve"> </w:t>
      </w:r>
      <w:r w:rsidR="00E57DAB">
        <w:rPr>
          <w:szCs w:val="24"/>
        </w:rPr>
        <w:t>judge</w:t>
      </w:r>
      <w:r>
        <w:rPr>
          <w:szCs w:val="24"/>
        </w:rPr>
        <w:t xml:space="preserve"> could, for good reason, have departed from the “hours times hourly rate” method of assessing the Defendant’s bas</w:t>
      </w:r>
      <w:r w:rsidR="004F5EA1">
        <w:rPr>
          <w:szCs w:val="24"/>
        </w:rPr>
        <w:t>e</w:t>
      </w:r>
      <w:r>
        <w:rPr>
          <w:szCs w:val="24"/>
        </w:rPr>
        <w:t xml:space="preserve"> c</w:t>
      </w:r>
      <w:r w:rsidR="004F5EA1">
        <w:rPr>
          <w:szCs w:val="24"/>
        </w:rPr>
        <w:t>ost</w:t>
      </w:r>
      <w:r>
        <w:rPr>
          <w:szCs w:val="24"/>
        </w:rPr>
        <w:t xml:space="preserve">s and could, for good reason, have alighted on £900 as the reasonable amount for the </w:t>
      </w:r>
      <w:r w:rsidR="00945343">
        <w:rPr>
          <w:szCs w:val="24"/>
        </w:rPr>
        <w:t>Defendant’s</w:t>
      </w:r>
      <w:r>
        <w:rPr>
          <w:szCs w:val="24"/>
        </w:rPr>
        <w:t xml:space="preserve"> bas</w:t>
      </w:r>
      <w:r w:rsidR="004F5EA1">
        <w:rPr>
          <w:szCs w:val="24"/>
        </w:rPr>
        <w:t>e</w:t>
      </w:r>
      <w:r>
        <w:rPr>
          <w:szCs w:val="24"/>
        </w:rPr>
        <w:t xml:space="preserve"> c</w:t>
      </w:r>
      <w:r w:rsidR="004F5EA1">
        <w:rPr>
          <w:szCs w:val="24"/>
        </w:rPr>
        <w:t>ost</w:t>
      </w:r>
      <w:r>
        <w:rPr>
          <w:szCs w:val="24"/>
        </w:rPr>
        <w:t xml:space="preserve">s (in the sense that any greater amount would </w:t>
      </w:r>
      <w:r w:rsidR="00514C75">
        <w:rPr>
          <w:szCs w:val="24"/>
        </w:rPr>
        <w:t>have</w:t>
      </w:r>
      <w:r>
        <w:rPr>
          <w:szCs w:val="24"/>
        </w:rPr>
        <w:t xml:space="preserve"> been unreasonable), I am not persuaded that that </w:t>
      </w:r>
      <w:r w:rsidR="00514C75">
        <w:rPr>
          <w:szCs w:val="24"/>
        </w:rPr>
        <w:t>is</w:t>
      </w:r>
      <w:r>
        <w:rPr>
          <w:szCs w:val="24"/>
        </w:rPr>
        <w:t xml:space="preserve"> what the </w:t>
      </w:r>
      <w:r w:rsidR="00E57DAB">
        <w:rPr>
          <w:szCs w:val="24"/>
        </w:rPr>
        <w:t>district</w:t>
      </w:r>
      <w:r>
        <w:rPr>
          <w:szCs w:val="24"/>
        </w:rPr>
        <w:t xml:space="preserve"> </w:t>
      </w:r>
      <w:r w:rsidR="00E57DAB">
        <w:rPr>
          <w:szCs w:val="24"/>
        </w:rPr>
        <w:t>judge</w:t>
      </w:r>
      <w:r>
        <w:rPr>
          <w:szCs w:val="24"/>
        </w:rPr>
        <w:t xml:space="preserve"> did.</w:t>
      </w:r>
    </w:p>
    <w:p w14:paraId="54EC2EAF" w14:textId="36A8B95B" w:rsidR="00D936AA" w:rsidRDefault="00D936AA" w:rsidP="00AC6944">
      <w:pPr>
        <w:pStyle w:val="ListParagraph"/>
        <w:numPr>
          <w:ilvl w:val="0"/>
          <w:numId w:val="15"/>
        </w:numPr>
        <w:spacing w:after="240" w:line="240" w:lineRule="auto"/>
        <w:contextualSpacing w:val="0"/>
        <w:jc w:val="both"/>
        <w:rPr>
          <w:szCs w:val="24"/>
        </w:rPr>
      </w:pPr>
      <w:r>
        <w:rPr>
          <w:szCs w:val="24"/>
        </w:rPr>
        <w:t xml:space="preserve">In </w:t>
      </w:r>
      <w:r w:rsidR="00945343">
        <w:rPr>
          <w:szCs w:val="24"/>
        </w:rPr>
        <w:t>those</w:t>
      </w:r>
      <w:r>
        <w:rPr>
          <w:szCs w:val="24"/>
        </w:rPr>
        <w:t xml:space="preserve"> c</w:t>
      </w:r>
      <w:r w:rsidR="00945343">
        <w:rPr>
          <w:szCs w:val="24"/>
        </w:rPr>
        <w:t>i</w:t>
      </w:r>
      <w:r>
        <w:rPr>
          <w:szCs w:val="24"/>
        </w:rPr>
        <w:t>r</w:t>
      </w:r>
      <w:r w:rsidR="00945343">
        <w:rPr>
          <w:szCs w:val="24"/>
        </w:rPr>
        <w:t>cu</w:t>
      </w:r>
      <w:r>
        <w:rPr>
          <w:szCs w:val="24"/>
        </w:rPr>
        <w:t>mstance</w:t>
      </w:r>
      <w:r w:rsidR="00945343">
        <w:rPr>
          <w:szCs w:val="24"/>
        </w:rPr>
        <w:t>s</w:t>
      </w:r>
      <w:r>
        <w:rPr>
          <w:szCs w:val="24"/>
        </w:rPr>
        <w:t xml:space="preserve">, I consider that the limitation decision was </w:t>
      </w:r>
      <w:r w:rsidR="00945343">
        <w:rPr>
          <w:szCs w:val="24"/>
        </w:rPr>
        <w:t>wrong</w:t>
      </w:r>
      <w:r>
        <w:rPr>
          <w:szCs w:val="24"/>
        </w:rPr>
        <w:t xml:space="preserve"> and that the </w:t>
      </w:r>
      <w:r w:rsidR="004F5EA1">
        <w:rPr>
          <w:szCs w:val="24"/>
        </w:rPr>
        <w:t>d</w:t>
      </w:r>
      <w:r w:rsidR="00E57DAB">
        <w:rPr>
          <w:szCs w:val="24"/>
        </w:rPr>
        <w:t>istrict</w:t>
      </w:r>
      <w:r>
        <w:rPr>
          <w:szCs w:val="24"/>
        </w:rPr>
        <w:t xml:space="preserve"> </w:t>
      </w:r>
      <w:r w:rsidR="004F5EA1">
        <w:rPr>
          <w:szCs w:val="24"/>
        </w:rPr>
        <w:t>j</w:t>
      </w:r>
      <w:r w:rsidR="00E57DAB">
        <w:rPr>
          <w:szCs w:val="24"/>
        </w:rPr>
        <w:t>udge</w:t>
      </w:r>
      <w:r>
        <w:rPr>
          <w:szCs w:val="24"/>
        </w:rPr>
        <w:t xml:space="preserve"> should </w:t>
      </w:r>
      <w:r w:rsidR="00514C75">
        <w:rPr>
          <w:szCs w:val="24"/>
        </w:rPr>
        <w:t>have</w:t>
      </w:r>
      <w:r>
        <w:rPr>
          <w:szCs w:val="24"/>
        </w:rPr>
        <w:t xml:space="preserve"> assessed the </w:t>
      </w:r>
      <w:r w:rsidR="00514C75">
        <w:rPr>
          <w:szCs w:val="24"/>
        </w:rPr>
        <w:t>Claimant’s</w:t>
      </w:r>
      <w:r>
        <w:rPr>
          <w:szCs w:val="24"/>
        </w:rPr>
        <w:t xml:space="preserve"> bas</w:t>
      </w:r>
      <w:r w:rsidR="004F5EA1">
        <w:rPr>
          <w:szCs w:val="24"/>
        </w:rPr>
        <w:t>e</w:t>
      </w:r>
      <w:r>
        <w:rPr>
          <w:szCs w:val="24"/>
        </w:rPr>
        <w:t xml:space="preserve"> cost</w:t>
      </w:r>
      <w:r w:rsidR="004B5CA1">
        <w:rPr>
          <w:szCs w:val="24"/>
        </w:rPr>
        <w:t>s</w:t>
      </w:r>
      <w:r w:rsidR="00F95D55">
        <w:rPr>
          <w:szCs w:val="24"/>
        </w:rPr>
        <w:t xml:space="preserve"> (before the limitation </w:t>
      </w:r>
      <w:r w:rsidR="00CF2FB8">
        <w:rPr>
          <w:szCs w:val="24"/>
        </w:rPr>
        <w:t>of</w:t>
      </w:r>
      <w:r w:rsidR="00F95D55">
        <w:rPr>
          <w:szCs w:val="24"/>
        </w:rPr>
        <w:t xml:space="preserve"> the </w:t>
      </w:r>
      <w:r w:rsidR="00514C75">
        <w:rPr>
          <w:szCs w:val="24"/>
        </w:rPr>
        <w:t>Claimant’s</w:t>
      </w:r>
      <w:r w:rsidR="00F95D55">
        <w:rPr>
          <w:szCs w:val="24"/>
        </w:rPr>
        <w:t xml:space="preserve"> costs at £1,571.50)</w:t>
      </w:r>
      <w:r>
        <w:rPr>
          <w:szCs w:val="24"/>
        </w:rPr>
        <w:t xml:space="preserve"> at £1,296 (including VAT).</w:t>
      </w:r>
      <w:r w:rsidR="004B5CA1">
        <w:rPr>
          <w:szCs w:val="24"/>
        </w:rPr>
        <w:t xml:space="preserve">  On that basis, the </w:t>
      </w:r>
      <w:r w:rsidR="004F5EA1">
        <w:rPr>
          <w:szCs w:val="24"/>
        </w:rPr>
        <w:t>d</w:t>
      </w:r>
      <w:r w:rsidR="00E57DAB">
        <w:rPr>
          <w:szCs w:val="24"/>
        </w:rPr>
        <w:t>istrict</w:t>
      </w:r>
      <w:r w:rsidR="004B5CA1">
        <w:rPr>
          <w:szCs w:val="24"/>
        </w:rPr>
        <w:t xml:space="preserve"> </w:t>
      </w:r>
      <w:r w:rsidR="004F5EA1">
        <w:rPr>
          <w:szCs w:val="24"/>
        </w:rPr>
        <w:lastRenderedPageBreak/>
        <w:t>j</w:t>
      </w:r>
      <w:r w:rsidR="00E57DAB">
        <w:rPr>
          <w:szCs w:val="24"/>
        </w:rPr>
        <w:t>udge</w:t>
      </w:r>
      <w:r w:rsidR="004B5CA1">
        <w:rPr>
          <w:szCs w:val="24"/>
        </w:rPr>
        <w:t xml:space="preserve"> should h</w:t>
      </w:r>
      <w:r w:rsidR="004F5EA1">
        <w:rPr>
          <w:szCs w:val="24"/>
        </w:rPr>
        <w:t>a</w:t>
      </w:r>
      <w:r w:rsidR="004B5CA1">
        <w:rPr>
          <w:szCs w:val="24"/>
        </w:rPr>
        <w:t>v</w:t>
      </w:r>
      <w:r w:rsidR="004F5EA1">
        <w:rPr>
          <w:szCs w:val="24"/>
        </w:rPr>
        <w:t>e</w:t>
      </w:r>
      <w:r w:rsidR="004B5CA1">
        <w:rPr>
          <w:szCs w:val="24"/>
        </w:rPr>
        <w:t xml:space="preserve"> found that nothing </w:t>
      </w:r>
      <w:r w:rsidR="00945343">
        <w:rPr>
          <w:szCs w:val="24"/>
        </w:rPr>
        <w:t>was</w:t>
      </w:r>
      <w:r w:rsidR="004B5CA1">
        <w:rPr>
          <w:szCs w:val="24"/>
        </w:rPr>
        <w:t xml:space="preserve"> owing from the </w:t>
      </w:r>
      <w:r w:rsidR="00514C75">
        <w:rPr>
          <w:szCs w:val="24"/>
        </w:rPr>
        <w:t>Defendant</w:t>
      </w:r>
      <w:r w:rsidR="004B5CA1">
        <w:rPr>
          <w:szCs w:val="24"/>
        </w:rPr>
        <w:t xml:space="preserve"> to the </w:t>
      </w:r>
      <w:r w:rsidR="00514C75">
        <w:rPr>
          <w:szCs w:val="24"/>
        </w:rPr>
        <w:t>Claimant</w:t>
      </w:r>
      <w:r w:rsidR="004B5CA1">
        <w:rPr>
          <w:szCs w:val="24"/>
        </w:rPr>
        <w:t>, since</w:t>
      </w:r>
      <w:r w:rsidR="00945343">
        <w:rPr>
          <w:szCs w:val="24"/>
        </w:rPr>
        <w:t xml:space="preserve"> </w:t>
      </w:r>
      <w:r w:rsidR="004B5CA1">
        <w:rPr>
          <w:szCs w:val="24"/>
        </w:rPr>
        <w:t>t</w:t>
      </w:r>
      <w:r w:rsidR="00945343">
        <w:rPr>
          <w:szCs w:val="24"/>
        </w:rPr>
        <w:t>h</w:t>
      </w:r>
      <w:r w:rsidR="004B5CA1">
        <w:rPr>
          <w:szCs w:val="24"/>
        </w:rPr>
        <w:t xml:space="preserve">e Defendant </w:t>
      </w:r>
      <w:r w:rsidR="004F5EA1">
        <w:rPr>
          <w:szCs w:val="24"/>
        </w:rPr>
        <w:t>was</w:t>
      </w:r>
      <w:r w:rsidR="004B5CA1">
        <w:rPr>
          <w:szCs w:val="24"/>
        </w:rPr>
        <w:t xml:space="preserve"> entitled </w:t>
      </w:r>
      <w:r w:rsidR="00945343">
        <w:rPr>
          <w:szCs w:val="24"/>
        </w:rPr>
        <w:t>to</w:t>
      </w:r>
      <w:r w:rsidR="004B5CA1">
        <w:rPr>
          <w:szCs w:val="24"/>
        </w:rPr>
        <w:t xml:space="preserve"> charge the </w:t>
      </w:r>
      <w:r w:rsidR="00514C75">
        <w:rPr>
          <w:szCs w:val="24"/>
        </w:rPr>
        <w:t>Claimant</w:t>
      </w:r>
      <w:r w:rsidR="004B5CA1">
        <w:rPr>
          <w:szCs w:val="24"/>
        </w:rPr>
        <w:t xml:space="preserve"> the </w:t>
      </w:r>
      <w:r w:rsidR="004F5EA1">
        <w:rPr>
          <w:szCs w:val="24"/>
        </w:rPr>
        <w:t>£</w:t>
      </w:r>
      <w:r w:rsidR="004B5CA1">
        <w:rPr>
          <w:szCs w:val="24"/>
        </w:rPr>
        <w:t xml:space="preserve">455.50 which </w:t>
      </w:r>
      <w:r w:rsidR="00945343">
        <w:rPr>
          <w:szCs w:val="24"/>
        </w:rPr>
        <w:t>it</w:t>
      </w:r>
      <w:r w:rsidR="004B5CA1">
        <w:rPr>
          <w:szCs w:val="24"/>
        </w:rPr>
        <w:t xml:space="preserve"> had retained fr</w:t>
      </w:r>
      <w:r w:rsidR="004F5EA1">
        <w:rPr>
          <w:szCs w:val="24"/>
        </w:rPr>
        <w:t>o</w:t>
      </w:r>
      <w:r w:rsidR="004B5CA1">
        <w:rPr>
          <w:szCs w:val="24"/>
        </w:rPr>
        <w:t xml:space="preserve">m the </w:t>
      </w:r>
      <w:r w:rsidR="00514C75">
        <w:rPr>
          <w:szCs w:val="24"/>
        </w:rPr>
        <w:t>Claimant’s</w:t>
      </w:r>
      <w:r w:rsidR="004B5CA1">
        <w:rPr>
          <w:szCs w:val="24"/>
        </w:rPr>
        <w:t xml:space="preserve"> damages.</w:t>
      </w:r>
    </w:p>
    <w:p w14:paraId="4A15393B" w14:textId="77B27FAD" w:rsidR="00654BC1" w:rsidRPr="00654BC1" w:rsidRDefault="004B5CA1" w:rsidP="00AC6944">
      <w:pPr>
        <w:pStyle w:val="ListParagraph"/>
        <w:spacing w:after="240" w:line="240" w:lineRule="auto"/>
        <w:contextualSpacing w:val="0"/>
        <w:jc w:val="both"/>
        <w:rPr>
          <w:b/>
          <w:bCs/>
          <w:szCs w:val="24"/>
        </w:rPr>
      </w:pPr>
      <w:r>
        <w:rPr>
          <w:b/>
          <w:bCs/>
          <w:szCs w:val="24"/>
        </w:rPr>
        <w:t>(6) Ground 3</w:t>
      </w:r>
      <w:r w:rsidR="00532B43">
        <w:rPr>
          <w:b/>
          <w:bCs/>
          <w:szCs w:val="24"/>
        </w:rPr>
        <w:t>: The Amount of the Bill</w:t>
      </w:r>
    </w:p>
    <w:p w14:paraId="53C4A7E5" w14:textId="678978D5" w:rsidR="00457410" w:rsidRPr="00654BC1" w:rsidRDefault="00654BC1" w:rsidP="00AC6944">
      <w:pPr>
        <w:pStyle w:val="ListParagraph"/>
        <w:numPr>
          <w:ilvl w:val="0"/>
          <w:numId w:val="15"/>
        </w:numPr>
        <w:spacing w:after="240" w:line="240" w:lineRule="auto"/>
        <w:contextualSpacing w:val="0"/>
        <w:jc w:val="both"/>
        <w:rPr>
          <w:rFonts w:cs="Times New Roman"/>
          <w:szCs w:val="24"/>
        </w:rPr>
      </w:pPr>
      <w:r w:rsidRPr="00654BC1">
        <w:rPr>
          <w:rFonts w:cs="Times New Roman"/>
          <w:szCs w:val="24"/>
        </w:rPr>
        <w:t xml:space="preserve">Ground 3 concerns </w:t>
      </w:r>
      <w:r w:rsidR="004F5EA1">
        <w:rPr>
          <w:rFonts w:cs="Times New Roman"/>
          <w:szCs w:val="24"/>
        </w:rPr>
        <w:t xml:space="preserve">an </w:t>
      </w:r>
      <w:r w:rsidR="00CE762E">
        <w:rPr>
          <w:rFonts w:cs="Times New Roman"/>
          <w:szCs w:val="24"/>
        </w:rPr>
        <w:t xml:space="preserve">issue which </w:t>
      </w:r>
      <w:r w:rsidRPr="00654BC1">
        <w:rPr>
          <w:rFonts w:cs="Times New Roman"/>
          <w:szCs w:val="24"/>
        </w:rPr>
        <w:t xml:space="preserve">arises by virtue </w:t>
      </w:r>
      <w:r w:rsidR="00CF2FB8" w:rsidRPr="00654BC1">
        <w:rPr>
          <w:rFonts w:cs="Times New Roman"/>
          <w:szCs w:val="24"/>
        </w:rPr>
        <w:t>of</w:t>
      </w:r>
      <w:r w:rsidRPr="00654BC1">
        <w:rPr>
          <w:rFonts w:cs="Times New Roman"/>
          <w:szCs w:val="24"/>
        </w:rPr>
        <w:t xml:space="preserve"> </w:t>
      </w:r>
      <w:r>
        <w:rPr>
          <w:rFonts w:cs="Times New Roman"/>
          <w:szCs w:val="24"/>
        </w:rPr>
        <w:t>s</w:t>
      </w:r>
      <w:r w:rsidR="00457410" w:rsidRPr="00654BC1">
        <w:rPr>
          <w:rFonts w:cs="Times New Roman"/>
          <w:szCs w:val="24"/>
        </w:rPr>
        <w:t>ubsection</w:t>
      </w:r>
      <w:r w:rsidR="002939F1" w:rsidRPr="00654BC1">
        <w:rPr>
          <w:rFonts w:cs="Times New Roman"/>
          <w:szCs w:val="24"/>
        </w:rPr>
        <w:t xml:space="preserve"> 70</w:t>
      </w:r>
      <w:r w:rsidR="00457410" w:rsidRPr="00654BC1">
        <w:rPr>
          <w:rFonts w:cs="Times New Roman"/>
          <w:szCs w:val="24"/>
        </w:rPr>
        <w:t xml:space="preserve">(9) of the Solicitors Act </w:t>
      </w:r>
      <w:r w:rsidR="002939F1" w:rsidRPr="00654BC1">
        <w:rPr>
          <w:rFonts w:cs="Times New Roman"/>
          <w:szCs w:val="24"/>
        </w:rPr>
        <w:t>1974</w:t>
      </w:r>
      <w:r>
        <w:rPr>
          <w:rFonts w:cs="Times New Roman"/>
          <w:szCs w:val="24"/>
        </w:rPr>
        <w:t>, which</w:t>
      </w:r>
      <w:r w:rsidR="002939F1" w:rsidRPr="00654BC1">
        <w:rPr>
          <w:rFonts w:cs="Times New Roman"/>
          <w:szCs w:val="24"/>
        </w:rPr>
        <w:t xml:space="preserve"> </w:t>
      </w:r>
      <w:r w:rsidR="00457410" w:rsidRPr="00654BC1">
        <w:rPr>
          <w:rFonts w:cs="Times New Roman"/>
          <w:szCs w:val="24"/>
        </w:rPr>
        <w:t>provide</w:t>
      </w:r>
      <w:r w:rsidR="002939F1" w:rsidRPr="00654BC1">
        <w:rPr>
          <w:rFonts w:cs="Times New Roman"/>
          <w:szCs w:val="24"/>
        </w:rPr>
        <w:t>s</w:t>
      </w:r>
      <w:r w:rsidR="00457410" w:rsidRPr="00654BC1">
        <w:rPr>
          <w:rFonts w:cs="Times New Roman"/>
          <w:szCs w:val="24"/>
        </w:rPr>
        <w:t xml:space="preserve"> as follows:</w:t>
      </w:r>
    </w:p>
    <w:p w14:paraId="3A69CF5D" w14:textId="56021D77" w:rsidR="00457410" w:rsidRPr="001E7226" w:rsidRDefault="00457410" w:rsidP="00AC6944">
      <w:pPr>
        <w:pStyle w:val="ListParagraph"/>
        <w:spacing w:after="120" w:line="240" w:lineRule="auto"/>
        <w:ind w:left="1440"/>
        <w:contextualSpacing w:val="0"/>
        <w:jc w:val="both"/>
        <w:rPr>
          <w:rFonts w:cs="Times New Roman"/>
          <w:szCs w:val="24"/>
        </w:rPr>
      </w:pPr>
      <w:r w:rsidRPr="001E7226">
        <w:rPr>
          <w:rFonts w:cs="Times New Roman"/>
          <w:szCs w:val="24"/>
        </w:rPr>
        <w:t>“Unless—</w:t>
      </w:r>
    </w:p>
    <w:p w14:paraId="0844EE18" w14:textId="77777777" w:rsidR="00457410" w:rsidRPr="001E7226" w:rsidRDefault="00457410" w:rsidP="00AC6944">
      <w:pPr>
        <w:pStyle w:val="ListParagraph"/>
        <w:spacing w:after="120" w:line="240" w:lineRule="auto"/>
        <w:ind w:left="1440"/>
        <w:contextualSpacing w:val="0"/>
        <w:jc w:val="both"/>
        <w:rPr>
          <w:rFonts w:cs="Times New Roman"/>
          <w:szCs w:val="24"/>
        </w:rPr>
      </w:pPr>
      <w:r w:rsidRPr="001E7226">
        <w:rPr>
          <w:rFonts w:cs="Times New Roman"/>
          <w:szCs w:val="24"/>
        </w:rPr>
        <w:t xml:space="preserve">(a)   the order for assessment was made on the application of the solicitor and the party chargeable does not attend the assessment, or </w:t>
      </w:r>
    </w:p>
    <w:p w14:paraId="576EB0E3" w14:textId="77777777" w:rsidR="00457410" w:rsidRPr="001E7226" w:rsidRDefault="00457410" w:rsidP="00AC6944">
      <w:pPr>
        <w:pStyle w:val="ListParagraph"/>
        <w:spacing w:after="120" w:line="240" w:lineRule="auto"/>
        <w:ind w:left="1440"/>
        <w:contextualSpacing w:val="0"/>
        <w:jc w:val="both"/>
        <w:rPr>
          <w:rFonts w:cs="Times New Roman"/>
          <w:szCs w:val="24"/>
        </w:rPr>
      </w:pPr>
      <w:r w:rsidRPr="001E7226">
        <w:rPr>
          <w:rFonts w:cs="Times New Roman"/>
          <w:szCs w:val="24"/>
        </w:rPr>
        <w:t xml:space="preserve">(b)   the order for assessment or an order under subsection (10) otherwise provides, </w:t>
      </w:r>
    </w:p>
    <w:p w14:paraId="1CEE6364" w14:textId="21502E8A" w:rsidR="00457410" w:rsidRPr="002939F1" w:rsidRDefault="00457410" w:rsidP="00AC6944">
      <w:pPr>
        <w:pStyle w:val="ListParagraph"/>
        <w:spacing w:after="240" w:line="240" w:lineRule="auto"/>
        <w:ind w:left="1440"/>
        <w:contextualSpacing w:val="0"/>
        <w:jc w:val="both"/>
        <w:rPr>
          <w:rFonts w:cs="Times New Roman"/>
          <w:szCs w:val="24"/>
        </w:rPr>
      </w:pPr>
      <w:r w:rsidRPr="001E7226">
        <w:rPr>
          <w:rFonts w:cs="Times New Roman"/>
          <w:szCs w:val="24"/>
        </w:rPr>
        <w:t>the costs of an assessment shall be paid according to the event of the assessment, that is to say, if the amount of the bill is reduced by one fifth, the solicitor shall pay the costs, but otherwise the party chargeable shall pay the costs.</w:t>
      </w:r>
      <w:r w:rsidRPr="002939F1">
        <w:rPr>
          <w:rFonts w:cs="Times New Roman"/>
          <w:szCs w:val="24"/>
        </w:rPr>
        <w:t>”</w:t>
      </w:r>
    </w:p>
    <w:p w14:paraId="15467F1C" w14:textId="057C30F2" w:rsidR="00654BC1" w:rsidRDefault="00654BC1" w:rsidP="00AC6944">
      <w:pPr>
        <w:pStyle w:val="ListParagraph"/>
        <w:numPr>
          <w:ilvl w:val="0"/>
          <w:numId w:val="15"/>
        </w:numPr>
        <w:spacing w:after="240" w:line="240" w:lineRule="auto"/>
        <w:contextualSpacing w:val="0"/>
        <w:jc w:val="both"/>
        <w:rPr>
          <w:rFonts w:cs="Times New Roman"/>
          <w:szCs w:val="24"/>
        </w:rPr>
      </w:pPr>
      <w:r>
        <w:rPr>
          <w:rFonts w:cs="Times New Roman"/>
          <w:szCs w:val="24"/>
        </w:rPr>
        <w:t xml:space="preserve">The </w:t>
      </w:r>
      <w:r w:rsidR="004F5EA1">
        <w:rPr>
          <w:rFonts w:cs="Times New Roman"/>
          <w:szCs w:val="24"/>
        </w:rPr>
        <w:t>d</w:t>
      </w:r>
      <w:r w:rsidR="00E57DAB">
        <w:rPr>
          <w:rFonts w:cs="Times New Roman"/>
          <w:szCs w:val="24"/>
        </w:rPr>
        <w:t>istrict</w:t>
      </w:r>
      <w:r>
        <w:rPr>
          <w:rFonts w:cs="Times New Roman"/>
          <w:szCs w:val="24"/>
        </w:rPr>
        <w:t xml:space="preserve"> </w:t>
      </w:r>
      <w:r w:rsidR="004F5EA1">
        <w:rPr>
          <w:rFonts w:cs="Times New Roman"/>
          <w:szCs w:val="24"/>
        </w:rPr>
        <w:t>j</w:t>
      </w:r>
      <w:r w:rsidR="00E57DAB">
        <w:rPr>
          <w:rFonts w:cs="Times New Roman"/>
          <w:szCs w:val="24"/>
        </w:rPr>
        <w:t>udge</w:t>
      </w:r>
      <w:r>
        <w:rPr>
          <w:rFonts w:cs="Times New Roman"/>
          <w:szCs w:val="24"/>
        </w:rPr>
        <w:t xml:space="preserve"> decided that “the amount o</w:t>
      </w:r>
      <w:r w:rsidR="00945343">
        <w:rPr>
          <w:rFonts w:cs="Times New Roman"/>
          <w:szCs w:val="24"/>
        </w:rPr>
        <w:t xml:space="preserve">f </w:t>
      </w:r>
      <w:r>
        <w:rPr>
          <w:rFonts w:cs="Times New Roman"/>
          <w:szCs w:val="24"/>
        </w:rPr>
        <w:t>th</w:t>
      </w:r>
      <w:r w:rsidR="00945343">
        <w:rPr>
          <w:rFonts w:cs="Times New Roman"/>
          <w:szCs w:val="24"/>
        </w:rPr>
        <w:t>e</w:t>
      </w:r>
      <w:r>
        <w:rPr>
          <w:rFonts w:cs="Times New Roman"/>
          <w:szCs w:val="24"/>
        </w:rPr>
        <w:t xml:space="preserve"> bill” was £2,731.90, as contended for by the </w:t>
      </w:r>
      <w:r w:rsidR="00514C75">
        <w:rPr>
          <w:rFonts w:cs="Times New Roman"/>
          <w:szCs w:val="24"/>
        </w:rPr>
        <w:t>Claimant</w:t>
      </w:r>
      <w:r>
        <w:rPr>
          <w:rFonts w:cs="Times New Roman"/>
          <w:szCs w:val="24"/>
        </w:rPr>
        <w:t xml:space="preserve">.  </w:t>
      </w:r>
      <w:r w:rsidR="00C737CE">
        <w:rPr>
          <w:rFonts w:cs="Times New Roman"/>
          <w:szCs w:val="24"/>
        </w:rPr>
        <w:t xml:space="preserve">On that basis, he awarded the </w:t>
      </w:r>
      <w:r w:rsidR="00514C75">
        <w:rPr>
          <w:rFonts w:cs="Times New Roman"/>
          <w:szCs w:val="24"/>
        </w:rPr>
        <w:t>Claimant</w:t>
      </w:r>
      <w:r w:rsidR="00C737CE">
        <w:rPr>
          <w:rFonts w:cs="Times New Roman"/>
          <w:szCs w:val="24"/>
        </w:rPr>
        <w:t xml:space="preserve"> the costs </w:t>
      </w:r>
      <w:r w:rsidR="00CF2FB8">
        <w:rPr>
          <w:rFonts w:cs="Times New Roman"/>
          <w:szCs w:val="24"/>
        </w:rPr>
        <w:t>of</w:t>
      </w:r>
      <w:r w:rsidR="00C737CE">
        <w:rPr>
          <w:rFonts w:cs="Times New Roman"/>
          <w:szCs w:val="24"/>
        </w:rPr>
        <w:t xml:space="preserve"> the assessment.  </w:t>
      </w:r>
      <w:r>
        <w:rPr>
          <w:rFonts w:cs="Times New Roman"/>
          <w:szCs w:val="24"/>
        </w:rPr>
        <w:t>The Defend</w:t>
      </w:r>
      <w:r w:rsidR="00C737CE">
        <w:rPr>
          <w:rFonts w:cs="Times New Roman"/>
          <w:szCs w:val="24"/>
        </w:rPr>
        <w:t>a</w:t>
      </w:r>
      <w:r>
        <w:rPr>
          <w:rFonts w:cs="Times New Roman"/>
          <w:szCs w:val="24"/>
        </w:rPr>
        <w:t>nt contends that he was wron</w:t>
      </w:r>
      <w:r w:rsidR="00C737CE">
        <w:rPr>
          <w:rFonts w:cs="Times New Roman"/>
          <w:szCs w:val="24"/>
        </w:rPr>
        <w:t>g</w:t>
      </w:r>
      <w:r>
        <w:rPr>
          <w:rFonts w:cs="Times New Roman"/>
          <w:szCs w:val="24"/>
        </w:rPr>
        <w:t xml:space="preserve"> and that the amount o</w:t>
      </w:r>
      <w:r w:rsidR="00C737CE">
        <w:rPr>
          <w:rFonts w:cs="Times New Roman"/>
          <w:szCs w:val="24"/>
        </w:rPr>
        <w:t>f</w:t>
      </w:r>
      <w:r>
        <w:rPr>
          <w:rFonts w:cs="Times New Roman"/>
          <w:szCs w:val="24"/>
        </w:rPr>
        <w:t xml:space="preserve"> the bill was £1,571.50.</w:t>
      </w:r>
      <w:r w:rsidR="008B2C7D">
        <w:rPr>
          <w:rFonts w:cs="Times New Roman"/>
          <w:szCs w:val="24"/>
        </w:rPr>
        <w:t xml:space="preserve">  It is arguable that the district judge was wrong and I grant permission to appeal.</w:t>
      </w:r>
    </w:p>
    <w:p w14:paraId="400A9448" w14:textId="1BE87460" w:rsidR="00B07919" w:rsidRPr="00B07919" w:rsidRDefault="00B07919" w:rsidP="00AC6944">
      <w:pPr>
        <w:pStyle w:val="ListParagraph"/>
        <w:spacing w:after="240" w:line="240" w:lineRule="auto"/>
        <w:contextualSpacing w:val="0"/>
        <w:jc w:val="both"/>
        <w:rPr>
          <w:rFonts w:cs="Times New Roman"/>
          <w:b/>
          <w:bCs/>
          <w:i/>
          <w:iCs/>
          <w:szCs w:val="24"/>
        </w:rPr>
      </w:pPr>
      <w:r>
        <w:rPr>
          <w:rFonts w:cs="Times New Roman"/>
          <w:b/>
          <w:bCs/>
          <w:i/>
          <w:iCs/>
          <w:szCs w:val="24"/>
        </w:rPr>
        <w:t xml:space="preserve">(6)(a) </w:t>
      </w:r>
      <w:r w:rsidR="00AC6944">
        <w:rPr>
          <w:rFonts w:cs="Times New Roman"/>
          <w:b/>
          <w:bCs/>
          <w:i/>
          <w:iCs/>
          <w:szCs w:val="24"/>
        </w:rPr>
        <w:t xml:space="preserve">Ground 3: </w:t>
      </w:r>
      <w:r>
        <w:rPr>
          <w:rFonts w:cs="Times New Roman"/>
          <w:b/>
          <w:bCs/>
          <w:i/>
          <w:iCs/>
          <w:szCs w:val="24"/>
        </w:rPr>
        <w:t>Post-Hearing Submissions</w:t>
      </w:r>
    </w:p>
    <w:p w14:paraId="670A3DFE" w14:textId="32220CBD" w:rsidR="00654BC1" w:rsidRDefault="00C737CE" w:rsidP="00AC6944">
      <w:pPr>
        <w:pStyle w:val="ListParagraph"/>
        <w:numPr>
          <w:ilvl w:val="0"/>
          <w:numId w:val="15"/>
        </w:numPr>
        <w:spacing w:after="240" w:line="240" w:lineRule="auto"/>
        <w:contextualSpacing w:val="0"/>
        <w:jc w:val="both"/>
        <w:rPr>
          <w:rFonts w:cs="Times New Roman"/>
          <w:szCs w:val="24"/>
        </w:rPr>
      </w:pPr>
      <w:r>
        <w:rPr>
          <w:rFonts w:cs="Times New Roman"/>
          <w:szCs w:val="24"/>
        </w:rPr>
        <w:t>Mr Kirby</w:t>
      </w:r>
      <w:r w:rsidR="00BC276D">
        <w:rPr>
          <w:rFonts w:cs="Times New Roman"/>
          <w:szCs w:val="24"/>
        </w:rPr>
        <w:t xml:space="preserve"> referred in his </w:t>
      </w:r>
      <w:r w:rsidR="00B07919">
        <w:rPr>
          <w:rFonts w:cs="Times New Roman"/>
          <w:szCs w:val="24"/>
        </w:rPr>
        <w:t xml:space="preserve">oral </w:t>
      </w:r>
      <w:r w:rsidR="00BC276D">
        <w:rPr>
          <w:rFonts w:cs="Times New Roman"/>
          <w:szCs w:val="24"/>
        </w:rPr>
        <w:t xml:space="preserve">submissions to </w:t>
      </w:r>
      <w:r>
        <w:rPr>
          <w:rFonts w:cs="Times New Roman"/>
          <w:szCs w:val="24"/>
        </w:rPr>
        <w:t xml:space="preserve">the </w:t>
      </w:r>
      <w:r w:rsidR="004F5EA1">
        <w:rPr>
          <w:rFonts w:cs="Times New Roman"/>
          <w:szCs w:val="24"/>
        </w:rPr>
        <w:t>d</w:t>
      </w:r>
      <w:r w:rsidR="00E57DAB">
        <w:rPr>
          <w:rFonts w:cs="Times New Roman"/>
          <w:szCs w:val="24"/>
        </w:rPr>
        <w:t>istrict</w:t>
      </w:r>
      <w:r>
        <w:rPr>
          <w:rFonts w:cs="Times New Roman"/>
          <w:szCs w:val="24"/>
        </w:rPr>
        <w:t xml:space="preserve"> </w:t>
      </w:r>
      <w:r w:rsidR="004F5EA1">
        <w:rPr>
          <w:rFonts w:cs="Times New Roman"/>
          <w:szCs w:val="24"/>
        </w:rPr>
        <w:t>j</w:t>
      </w:r>
      <w:r w:rsidR="00E57DAB">
        <w:rPr>
          <w:rFonts w:cs="Times New Roman"/>
          <w:szCs w:val="24"/>
        </w:rPr>
        <w:t>udge</w:t>
      </w:r>
      <w:r>
        <w:rPr>
          <w:rFonts w:cs="Times New Roman"/>
          <w:szCs w:val="24"/>
        </w:rPr>
        <w:t xml:space="preserve">’s order </w:t>
      </w:r>
      <w:r w:rsidR="00CF2FB8">
        <w:rPr>
          <w:rFonts w:cs="Times New Roman"/>
          <w:szCs w:val="24"/>
        </w:rPr>
        <w:t>of</w:t>
      </w:r>
      <w:r>
        <w:rPr>
          <w:rFonts w:cs="Times New Roman"/>
          <w:szCs w:val="24"/>
        </w:rPr>
        <w:t xml:space="preserve"> </w:t>
      </w:r>
      <w:r w:rsidR="00B07919">
        <w:rPr>
          <w:rFonts w:cs="Times New Roman"/>
          <w:szCs w:val="24"/>
        </w:rPr>
        <w:t>2</w:t>
      </w:r>
      <w:r>
        <w:rPr>
          <w:rFonts w:cs="Times New Roman"/>
          <w:szCs w:val="24"/>
        </w:rPr>
        <w:t>8 M</w:t>
      </w:r>
      <w:r w:rsidR="004213BB">
        <w:rPr>
          <w:rFonts w:cs="Times New Roman"/>
          <w:szCs w:val="24"/>
        </w:rPr>
        <w:t>a</w:t>
      </w:r>
      <w:r w:rsidR="00B07919">
        <w:rPr>
          <w:rFonts w:cs="Times New Roman"/>
          <w:szCs w:val="24"/>
        </w:rPr>
        <w:t>rch</w:t>
      </w:r>
      <w:r>
        <w:rPr>
          <w:rFonts w:cs="Times New Roman"/>
          <w:szCs w:val="24"/>
        </w:rPr>
        <w:t xml:space="preserve"> 2018.  It </w:t>
      </w:r>
      <w:r w:rsidR="00BC276D">
        <w:rPr>
          <w:rFonts w:cs="Times New Roman"/>
          <w:szCs w:val="24"/>
        </w:rPr>
        <w:t xml:space="preserve">appeared to me at the hearing that he was arguing that the issue of the amount </w:t>
      </w:r>
      <w:r w:rsidR="00CF2FB8">
        <w:rPr>
          <w:rFonts w:cs="Times New Roman"/>
          <w:szCs w:val="24"/>
        </w:rPr>
        <w:t>of</w:t>
      </w:r>
      <w:r w:rsidR="00BC276D">
        <w:rPr>
          <w:rFonts w:cs="Times New Roman"/>
          <w:szCs w:val="24"/>
        </w:rPr>
        <w:t xml:space="preserve"> the bill was res judicata and I was concerned that that </w:t>
      </w:r>
      <w:r w:rsidR="004F5EA1">
        <w:rPr>
          <w:rFonts w:cs="Times New Roman"/>
          <w:szCs w:val="24"/>
        </w:rPr>
        <w:t>the law on res judicata</w:t>
      </w:r>
      <w:r>
        <w:rPr>
          <w:rFonts w:cs="Times New Roman"/>
          <w:szCs w:val="24"/>
        </w:rPr>
        <w:t xml:space="preserve"> had </w:t>
      </w:r>
      <w:r w:rsidR="00BC276D">
        <w:rPr>
          <w:rFonts w:cs="Times New Roman"/>
          <w:szCs w:val="24"/>
        </w:rPr>
        <w:t xml:space="preserve">not </w:t>
      </w:r>
      <w:r>
        <w:rPr>
          <w:rFonts w:cs="Times New Roman"/>
          <w:szCs w:val="24"/>
        </w:rPr>
        <w:t>bee</w:t>
      </w:r>
      <w:r w:rsidR="004F5EA1">
        <w:rPr>
          <w:rFonts w:cs="Times New Roman"/>
          <w:szCs w:val="24"/>
        </w:rPr>
        <w:t>n</w:t>
      </w:r>
      <w:r>
        <w:rPr>
          <w:rFonts w:cs="Times New Roman"/>
          <w:szCs w:val="24"/>
        </w:rPr>
        <w:t xml:space="preserve"> fully argued in the skeleton arguments prepared for the </w:t>
      </w:r>
      <w:r w:rsidR="00945343">
        <w:rPr>
          <w:rFonts w:cs="Times New Roman"/>
          <w:szCs w:val="24"/>
        </w:rPr>
        <w:t xml:space="preserve">hearing. </w:t>
      </w:r>
      <w:r w:rsidR="00BC276D">
        <w:rPr>
          <w:rFonts w:cs="Times New Roman"/>
          <w:szCs w:val="24"/>
        </w:rPr>
        <w:t xml:space="preserve"> Consequently,</w:t>
      </w:r>
      <w:r>
        <w:rPr>
          <w:rFonts w:cs="Times New Roman"/>
          <w:szCs w:val="24"/>
        </w:rPr>
        <w:t xml:space="preserve"> I gave the parties the opportunity to make further written submission</w:t>
      </w:r>
      <w:r w:rsidR="00B07919">
        <w:rPr>
          <w:rFonts w:cs="Times New Roman"/>
          <w:szCs w:val="24"/>
        </w:rPr>
        <w:t>s</w:t>
      </w:r>
      <w:r>
        <w:rPr>
          <w:rFonts w:cs="Times New Roman"/>
          <w:szCs w:val="24"/>
        </w:rPr>
        <w:t xml:space="preserve"> </w:t>
      </w:r>
      <w:r w:rsidR="004F5EA1">
        <w:rPr>
          <w:rFonts w:cs="Times New Roman"/>
          <w:szCs w:val="24"/>
        </w:rPr>
        <w:t xml:space="preserve">on this issue </w:t>
      </w:r>
      <w:r>
        <w:rPr>
          <w:rFonts w:cs="Times New Roman"/>
          <w:szCs w:val="24"/>
        </w:rPr>
        <w:t>after the hearing.</w:t>
      </w:r>
    </w:p>
    <w:p w14:paraId="02F0E4F1" w14:textId="464DAEEE" w:rsidR="00BC276D" w:rsidRDefault="00BC276D" w:rsidP="00AC6944">
      <w:pPr>
        <w:pStyle w:val="ListParagraph"/>
        <w:numPr>
          <w:ilvl w:val="0"/>
          <w:numId w:val="15"/>
        </w:numPr>
        <w:spacing w:after="240" w:line="240" w:lineRule="auto"/>
        <w:contextualSpacing w:val="0"/>
        <w:jc w:val="both"/>
        <w:rPr>
          <w:rFonts w:cs="Times New Roman"/>
          <w:szCs w:val="24"/>
        </w:rPr>
      </w:pPr>
      <w:r>
        <w:rPr>
          <w:rFonts w:cs="Times New Roman"/>
          <w:szCs w:val="24"/>
        </w:rPr>
        <w:t>In the event,</w:t>
      </w:r>
      <w:r w:rsidR="004B5F32">
        <w:rPr>
          <w:rFonts w:cs="Times New Roman"/>
          <w:szCs w:val="24"/>
        </w:rPr>
        <w:t xml:space="preserve"> although Mr Marven made submissions as to the potential application of the doctrine of res judicata,</w:t>
      </w:r>
      <w:r>
        <w:rPr>
          <w:rFonts w:cs="Times New Roman"/>
          <w:szCs w:val="24"/>
        </w:rPr>
        <w:t xml:space="preserve"> Mr Kirby made clear in </w:t>
      </w:r>
      <w:r w:rsidR="00945343">
        <w:rPr>
          <w:rFonts w:cs="Times New Roman"/>
          <w:szCs w:val="24"/>
        </w:rPr>
        <w:t>submissions</w:t>
      </w:r>
      <w:r>
        <w:rPr>
          <w:rFonts w:cs="Times New Roman"/>
          <w:szCs w:val="24"/>
        </w:rPr>
        <w:t xml:space="preserve"> dated 8 December 2020 that he was not relying on the doctrine of res judicata.  Rather, he was asserting that the Defendant had accepted that the amount o</w:t>
      </w:r>
      <w:r w:rsidR="00B07919">
        <w:rPr>
          <w:rFonts w:cs="Times New Roman"/>
          <w:szCs w:val="24"/>
        </w:rPr>
        <w:t>f</w:t>
      </w:r>
      <w:r>
        <w:rPr>
          <w:rFonts w:cs="Times New Roman"/>
          <w:szCs w:val="24"/>
        </w:rPr>
        <w:t xml:space="preserve"> the bill was </w:t>
      </w:r>
      <w:r w:rsidR="004B5F32">
        <w:rPr>
          <w:rFonts w:cs="Times New Roman"/>
          <w:szCs w:val="24"/>
        </w:rPr>
        <w:t>£2,731.90:</w:t>
      </w:r>
    </w:p>
    <w:p w14:paraId="4FAB12EF" w14:textId="04CABB00" w:rsidR="004B5F32" w:rsidRDefault="004213BB" w:rsidP="00AC6944">
      <w:pPr>
        <w:pStyle w:val="ListParagraph"/>
        <w:numPr>
          <w:ilvl w:val="1"/>
          <w:numId w:val="15"/>
        </w:numPr>
        <w:spacing w:after="240" w:line="240" w:lineRule="auto"/>
        <w:contextualSpacing w:val="0"/>
        <w:jc w:val="both"/>
        <w:rPr>
          <w:rFonts w:cs="Times New Roman"/>
          <w:szCs w:val="24"/>
        </w:rPr>
      </w:pPr>
      <w:r>
        <w:rPr>
          <w:rFonts w:cs="Times New Roman"/>
          <w:szCs w:val="24"/>
        </w:rPr>
        <w:t>i</w:t>
      </w:r>
      <w:r w:rsidR="004B5F32">
        <w:rPr>
          <w:rFonts w:cs="Times New Roman"/>
          <w:szCs w:val="24"/>
        </w:rPr>
        <w:t xml:space="preserve">n the </w:t>
      </w:r>
      <w:r>
        <w:rPr>
          <w:rFonts w:cs="Times New Roman"/>
          <w:szCs w:val="24"/>
        </w:rPr>
        <w:t>a</w:t>
      </w:r>
      <w:r w:rsidR="004B5F32">
        <w:rPr>
          <w:rFonts w:cs="Times New Roman"/>
          <w:szCs w:val="24"/>
        </w:rPr>
        <w:t>cknowledgment o</w:t>
      </w:r>
      <w:r>
        <w:rPr>
          <w:rFonts w:cs="Times New Roman"/>
          <w:szCs w:val="24"/>
        </w:rPr>
        <w:t>f</w:t>
      </w:r>
      <w:r w:rsidR="004B5F32">
        <w:rPr>
          <w:rFonts w:cs="Times New Roman"/>
          <w:szCs w:val="24"/>
        </w:rPr>
        <w:t xml:space="preserve"> </w:t>
      </w:r>
      <w:r w:rsidR="004F5EA1">
        <w:rPr>
          <w:rFonts w:cs="Times New Roman"/>
          <w:szCs w:val="24"/>
        </w:rPr>
        <w:t>s</w:t>
      </w:r>
      <w:r w:rsidR="004B5F32">
        <w:rPr>
          <w:rFonts w:cs="Times New Roman"/>
          <w:szCs w:val="24"/>
        </w:rPr>
        <w:t>ervice;</w:t>
      </w:r>
    </w:p>
    <w:p w14:paraId="5089AF29" w14:textId="183F2F6F" w:rsidR="004B5F32" w:rsidRDefault="004213BB" w:rsidP="00AC6944">
      <w:pPr>
        <w:pStyle w:val="ListParagraph"/>
        <w:numPr>
          <w:ilvl w:val="1"/>
          <w:numId w:val="15"/>
        </w:numPr>
        <w:spacing w:after="240" w:line="240" w:lineRule="auto"/>
        <w:contextualSpacing w:val="0"/>
        <w:jc w:val="both"/>
        <w:rPr>
          <w:rFonts w:cs="Times New Roman"/>
          <w:szCs w:val="24"/>
        </w:rPr>
      </w:pPr>
      <w:r>
        <w:rPr>
          <w:rFonts w:cs="Times New Roman"/>
          <w:szCs w:val="24"/>
        </w:rPr>
        <w:t>b</w:t>
      </w:r>
      <w:r w:rsidR="004B5F32">
        <w:rPr>
          <w:rFonts w:cs="Times New Roman"/>
          <w:szCs w:val="24"/>
        </w:rPr>
        <w:t>y not objecting to the</w:t>
      </w:r>
      <w:r w:rsidR="004F5EA1">
        <w:rPr>
          <w:rFonts w:cs="Times New Roman"/>
          <w:szCs w:val="24"/>
        </w:rPr>
        <w:t xml:space="preserve"> </w:t>
      </w:r>
      <w:r w:rsidR="004B5F32">
        <w:rPr>
          <w:rFonts w:cs="Times New Roman"/>
          <w:szCs w:val="24"/>
        </w:rPr>
        <w:t xml:space="preserve">order </w:t>
      </w:r>
      <w:r w:rsidR="00CF2FB8">
        <w:rPr>
          <w:rFonts w:cs="Times New Roman"/>
          <w:szCs w:val="24"/>
        </w:rPr>
        <w:t>of</w:t>
      </w:r>
      <w:r w:rsidR="004B5F32">
        <w:rPr>
          <w:rFonts w:cs="Times New Roman"/>
          <w:szCs w:val="24"/>
        </w:rPr>
        <w:t xml:space="preserve"> </w:t>
      </w:r>
      <w:r w:rsidR="00D50107">
        <w:rPr>
          <w:rFonts w:cs="Times New Roman"/>
          <w:szCs w:val="24"/>
        </w:rPr>
        <w:t>2</w:t>
      </w:r>
      <w:r w:rsidR="004B5F32">
        <w:rPr>
          <w:rFonts w:cs="Times New Roman"/>
          <w:szCs w:val="24"/>
        </w:rPr>
        <w:t>8 Ma</w:t>
      </w:r>
      <w:r>
        <w:rPr>
          <w:rFonts w:cs="Times New Roman"/>
          <w:szCs w:val="24"/>
        </w:rPr>
        <w:t>rch</w:t>
      </w:r>
      <w:r w:rsidR="004B5F32">
        <w:rPr>
          <w:rFonts w:cs="Times New Roman"/>
          <w:szCs w:val="24"/>
        </w:rPr>
        <w:t xml:space="preserve"> 2018</w:t>
      </w:r>
      <w:r>
        <w:rPr>
          <w:rFonts w:cs="Times New Roman"/>
          <w:szCs w:val="24"/>
        </w:rPr>
        <w:t xml:space="preserve"> (paragraph 1 of which included the words, “Amount of £2,731.90</w:t>
      </w:r>
      <w:r w:rsidR="004F5EA1">
        <w:rPr>
          <w:rFonts w:cs="Times New Roman"/>
          <w:szCs w:val="24"/>
        </w:rPr>
        <w:t>”</w:t>
      </w:r>
      <w:r w:rsidR="00945343">
        <w:rPr>
          <w:rFonts w:cs="Times New Roman"/>
          <w:szCs w:val="24"/>
        </w:rPr>
        <w:t>);</w:t>
      </w:r>
    </w:p>
    <w:p w14:paraId="3058B266" w14:textId="3B159B61" w:rsidR="00F758AF" w:rsidRDefault="004213BB" w:rsidP="00AC6944">
      <w:pPr>
        <w:pStyle w:val="ListParagraph"/>
        <w:numPr>
          <w:ilvl w:val="1"/>
          <w:numId w:val="15"/>
        </w:numPr>
        <w:spacing w:after="240" w:line="240" w:lineRule="auto"/>
        <w:contextualSpacing w:val="0"/>
        <w:jc w:val="both"/>
        <w:rPr>
          <w:rFonts w:cs="Times New Roman"/>
          <w:szCs w:val="24"/>
        </w:rPr>
      </w:pPr>
      <w:r>
        <w:rPr>
          <w:rFonts w:cs="Times New Roman"/>
          <w:szCs w:val="24"/>
        </w:rPr>
        <w:t>b</w:t>
      </w:r>
      <w:r w:rsidR="00F758AF">
        <w:rPr>
          <w:rFonts w:cs="Times New Roman"/>
          <w:szCs w:val="24"/>
        </w:rPr>
        <w:t xml:space="preserve">y </w:t>
      </w:r>
      <w:r w:rsidR="00945343">
        <w:rPr>
          <w:rFonts w:cs="Times New Roman"/>
          <w:szCs w:val="24"/>
        </w:rPr>
        <w:t>applying</w:t>
      </w:r>
      <w:r w:rsidR="00F758AF">
        <w:rPr>
          <w:rFonts w:cs="Times New Roman"/>
          <w:szCs w:val="24"/>
        </w:rPr>
        <w:t xml:space="preserve"> </w:t>
      </w:r>
      <w:r w:rsidR="004F5EA1">
        <w:rPr>
          <w:rFonts w:cs="Times New Roman"/>
          <w:szCs w:val="24"/>
        </w:rPr>
        <w:t>for the</w:t>
      </w:r>
      <w:r w:rsidR="00F758AF">
        <w:rPr>
          <w:rFonts w:cs="Times New Roman"/>
          <w:szCs w:val="24"/>
        </w:rPr>
        <w:t xml:space="preserve"> var</w:t>
      </w:r>
      <w:r w:rsidR="004F5EA1">
        <w:rPr>
          <w:rFonts w:cs="Times New Roman"/>
          <w:szCs w:val="24"/>
        </w:rPr>
        <w:t>iation</w:t>
      </w:r>
      <w:r w:rsidR="00F758AF">
        <w:rPr>
          <w:rFonts w:cs="Times New Roman"/>
          <w:szCs w:val="24"/>
        </w:rPr>
        <w:t xml:space="preserve"> other parts of that order, but not </w:t>
      </w:r>
      <w:r w:rsidR="00945343">
        <w:rPr>
          <w:rFonts w:cs="Times New Roman"/>
          <w:szCs w:val="24"/>
        </w:rPr>
        <w:t>paragraph</w:t>
      </w:r>
      <w:r w:rsidR="00F758AF">
        <w:rPr>
          <w:rFonts w:cs="Times New Roman"/>
          <w:szCs w:val="24"/>
        </w:rPr>
        <w:t xml:space="preserve"> 1</w:t>
      </w:r>
      <w:r>
        <w:rPr>
          <w:rFonts w:cs="Times New Roman"/>
          <w:szCs w:val="24"/>
        </w:rPr>
        <w:t>; and</w:t>
      </w:r>
    </w:p>
    <w:p w14:paraId="1932A9DE" w14:textId="3A71B338" w:rsidR="00F758AF" w:rsidRDefault="00B07919" w:rsidP="00AC6944">
      <w:pPr>
        <w:pStyle w:val="ListParagraph"/>
        <w:numPr>
          <w:ilvl w:val="1"/>
          <w:numId w:val="15"/>
        </w:numPr>
        <w:spacing w:after="240" w:line="240" w:lineRule="auto"/>
        <w:contextualSpacing w:val="0"/>
        <w:jc w:val="both"/>
        <w:rPr>
          <w:rFonts w:cs="Times New Roman"/>
          <w:szCs w:val="24"/>
        </w:rPr>
      </w:pPr>
      <w:r>
        <w:rPr>
          <w:rFonts w:cs="Times New Roman"/>
          <w:szCs w:val="24"/>
        </w:rPr>
        <w:t>b</w:t>
      </w:r>
      <w:r w:rsidR="00F758AF">
        <w:rPr>
          <w:rFonts w:cs="Times New Roman"/>
          <w:szCs w:val="24"/>
        </w:rPr>
        <w:t xml:space="preserve">y asserting that, for </w:t>
      </w:r>
      <w:r w:rsidR="00945343">
        <w:rPr>
          <w:rFonts w:cs="Times New Roman"/>
          <w:szCs w:val="24"/>
        </w:rPr>
        <w:t>the</w:t>
      </w:r>
      <w:r w:rsidR="00F758AF">
        <w:rPr>
          <w:rFonts w:cs="Times New Roman"/>
          <w:szCs w:val="24"/>
        </w:rPr>
        <w:t xml:space="preserve"> purposes </w:t>
      </w:r>
      <w:r w:rsidR="00CF2FB8">
        <w:rPr>
          <w:rFonts w:cs="Times New Roman"/>
          <w:szCs w:val="24"/>
        </w:rPr>
        <w:t>of</w:t>
      </w:r>
      <w:r w:rsidR="00F758AF">
        <w:rPr>
          <w:rFonts w:cs="Times New Roman"/>
          <w:szCs w:val="24"/>
        </w:rPr>
        <w:t xml:space="preserve"> the assessment </w:t>
      </w:r>
      <w:r w:rsidR="00CF2FB8">
        <w:rPr>
          <w:rFonts w:cs="Times New Roman"/>
          <w:szCs w:val="24"/>
        </w:rPr>
        <w:t>of</w:t>
      </w:r>
      <w:r w:rsidR="00F758AF">
        <w:rPr>
          <w:rFonts w:cs="Times New Roman"/>
          <w:szCs w:val="24"/>
        </w:rPr>
        <w:t xml:space="preserve"> the success fee, the court needed to assess the total amount claimed for </w:t>
      </w:r>
      <w:r w:rsidR="00945343">
        <w:rPr>
          <w:rFonts w:cs="Times New Roman"/>
          <w:szCs w:val="24"/>
        </w:rPr>
        <w:t>the</w:t>
      </w:r>
      <w:r w:rsidR="00F758AF">
        <w:rPr>
          <w:rFonts w:cs="Times New Roman"/>
          <w:szCs w:val="24"/>
        </w:rPr>
        <w:t xml:space="preserve"> Defendant’s bas</w:t>
      </w:r>
      <w:r w:rsidR="004F5EA1">
        <w:rPr>
          <w:rFonts w:cs="Times New Roman"/>
          <w:szCs w:val="24"/>
        </w:rPr>
        <w:t>e cost</w:t>
      </w:r>
      <w:r w:rsidR="00F758AF">
        <w:rPr>
          <w:rFonts w:cs="Times New Roman"/>
          <w:szCs w:val="24"/>
        </w:rPr>
        <w:t>s.</w:t>
      </w:r>
    </w:p>
    <w:p w14:paraId="5D2C9EC4" w14:textId="17E52596" w:rsidR="00BC276D" w:rsidRDefault="00B07919" w:rsidP="00AC6944">
      <w:pPr>
        <w:pStyle w:val="ListParagraph"/>
        <w:numPr>
          <w:ilvl w:val="0"/>
          <w:numId w:val="15"/>
        </w:numPr>
        <w:spacing w:after="240" w:line="240" w:lineRule="auto"/>
        <w:contextualSpacing w:val="0"/>
        <w:jc w:val="both"/>
        <w:rPr>
          <w:rFonts w:cs="Times New Roman"/>
          <w:szCs w:val="24"/>
        </w:rPr>
      </w:pPr>
      <w:r>
        <w:rPr>
          <w:rFonts w:cs="Times New Roman"/>
          <w:szCs w:val="24"/>
        </w:rPr>
        <w:t xml:space="preserve">These are all matters which I have taken into account in considering what was the amount </w:t>
      </w:r>
      <w:r w:rsidR="00CF2FB8">
        <w:rPr>
          <w:rFonts w:cs="Times New Roman"/>
          <w:szCs w:val="24"/>
        </w:rPr>
        <w:t>of</w:t>
      </w:r>
      <w:r>
        <w:rPr>
          <w:rFonts w:cs="Times New Roman"/>
          <w:szCs w:val="24"/>
        </w:rPr>
        <w:t xml:space="preserve"> the bill.</w:t>
      </w:r>
    </w:p>
    <w:p w14:paraId="674190FB" w14:textId="29888EC2" w:rsidR="00654BC1" w:rsidRPr="00C737CE" w:rsidRDefault="00C737CE" w:rsidP="00AC6944">
      <w:pPr>
        <w:pStyle w:val="ListParagraph"/>
        <w:spacing w:after="240" w:line="240" w:lineRule="auto"/>
        <w:contextualSpacing w:val="0"/>
        <w:jc w:val="both"/>
        <w:rPr>
          <w:rFonts w:cs="Times New Roman"/>
          <w:b/>
          <w:bCs/>
          <w:i/>
          <w:iCs/>
          <w:szCs w:val="24"/>
        </w:rPr>
      </w:pPr>
      <w:r w:rsidRPr="00C737CE">
        <w:rPr>
          <w:rFonts w:cs="Times New Roman"/>
          <w:b/>
          <w:bCs/>
          <w:i/>
          <w:iCs/>
          <w:szCs w:val="24"/>
        </w:rPr>
        <w:lastRenderedPageBreak/>
        <w:t>(6)(</w:t>
      </w:r>
      <w:r w:rsidR="00B07919">
        <w:rPr>
          <w:rFonts w:cs="Times New Roman"/>
          <w:b/>
          <w:bCs/>
          <w:i/>
          <w:iCs/>
          <w:szCs w:val="24"/>
        </w:rPr>
        <w:t>b</w:t>
      </w:r>
      <w:r w:rsidRPr="00C737CE">
        <w:rPr>
          <w:rFonts w:cs="Times New Roman"/>
          <w:b/>
          <w:bCs/>
          <w:i/>
          <w:iCs/>
          <w:szCs w:val="24"/>
        </w:rPr>
        <w:t xml:space="preserve">) </w:t>
      </w:r>
      <w:r w:rsidR="00AC6944">
        <w:rPr>
          <w:rFonts w:cs="Times New Roman"/>
          <w:b/>
          <w:bCs/>
          <w:i/>
          <w:iCs/>
          <w:szCs w:val="24"/>
        </w:rPr>
        <w:t xml:space="preserve">Ground 3: </w:t>
      </w:r>
      <w:r w:rsidR="00654BC1" w:rsidRPr="00C737CE">
        <w:rPr>
          <w:rFonts w:cs="Times New Roman"/>
          <w:b/>
          <w:bCs/>
          <w:i/>
          <w:iCs/>
          <w:szCs w:val="24"/>
        </w:rPr>
        <w:t>Authorities</w:t>
      </w:r>
      <w:r w:rsidRPr="00C737CE">
        <w:rPr>
          <w:rFonts w:cs="Times New Roman"/>
          <w:b/>
          <w:bCs/>
          <w:i/>
          <w:iCs/>
          <w:szCs w:val="24"/>
        </w:rPr>
        <w:t xml:space="preserve"> on Subsection 70(9) and its Predecessors</w:t>
      </w:r>
    </w:p>
    <w:p w14:paraId="0067B7BE" w14:textId="1FFBEC9D" w:rsidR="00457410" w:rsidRDefault="00457410" w:rsidP="00AC6944">
      <w:pPr>
        <w:pStyle w:val="ListParagraph"/>
        <w:numPr>
          <w:ilvl w:val="0"/>
          <w:numId w:val="15"/>
        </w:numPr>
        <w:spacing w:after="240" w:line="240" w:lineRule="auto"/>
        <w:contextualSpacing w:val="0"/>
        <w:jc w:val="both"/>
        <w:rPr>
          <w:rFonts w:cs="Times New Roman"/>
          <w:szCs w:val="24"/>
        </w:rPr>
      </w:pPr>
      <w:r w:rsidRPr="001E7226">
        <w:rPr>
          <w:rFonts w:cs="Times New Roman"/>
          <w:szCs w:val="24"/>
        </w:rPr>
        <w:t>I</w:t>
      </w:r>
      <w:r w:rsidR="00A15807">
        <w:rPr>
          <w:rFonts w:cs="Times New Roman"/>
          <w:szCs w:val="24"/>
        </w:rPr>
        <w:t xml:space="preserve">n his “on paper” assessment, the </w:t>
      </w:r>
      <w:r w:rsidR="00E57DAB">
        <w:rPr>
          <w:rFonts w:cs="Times New Roman"/>
          <w:szCs w:val="24"/>
        </w:rPr>
        <w:t>District</w:t>
      </w:r>
      <w:r w:rsidR="00A15807">
        <w:rPr>
          <w:rFonts w:cs="Times New Roman"/>
          <w:szCs w:val="24"/>
        </w:rPr>
        <w:t xml:space="preserve"> </w:t>
      </w:r>
      <w:r w:rsidR="00E57DAB">
        <w:rPr>
          <w:rFonts w:cs="Times New Roman"/>
          <w:szCs w:val="24"/>
        </w:rPr>
        <w:t>Judge</w:t>
      </w:r>
      <w:r w:rsidR="00A15807">
        <w:rPr>
          <w:rFonts w:cs="Times New Roman"/>
          <w:szCs w:val="24"/>
        </w:rPr>
        <w:t xml:space="preserve"> referred to p</w:t>
      </w:r>
      <w:r w:rsidR="004F5EA1">
        <w:rPr>
          <w:rFonts w:cs="Times New Roman"/>
          <w:szCs w:val="24"/>
        </w:rPr>
        <w:t>.</w:t>
      </w:r>
      <w:r w:rsidR="00A15807">
        <w:rPr>
          <w:rFonts w:cs="Times New Roman"/>
          <w:szCs w:val="24"/>
        </w:rPr>
        <w:t xml:space="preserve"> 2370 of the White Book.  This appears to </w:t>
      </w:r>
      <w:r w:rsidR="00514C75">
        <w:rPr>
          <w:rFonts w:cs="Times New Roman"/>
          <w:szCs w:val="24"/>
        </w:rPr>
        <w:t>have</w:t>
      </w:r>
      <w:r w:rsidR="00A15807">
        <w:rPr>
          <w:rFonts w:cs="Times New Roman"/>
          <w:szCs w:val="24"/>
        </w:rPr>
        <w:t xml:space="preserve"> bee</w:t>
      </w:r>
      <w:r w:rsidR="004F5EA1">
        <w:rPr>
          <w:rFonts w:cs="Times New Roman"/>
          <w:szCs w:val="24"/>
        </w:rPr>
        <w:t>n</w:t>
      </w:r>
      <w:r w:rsidR="00A15807">
        <w:rPr>
          <w:rFonts w:cs="Times New Roman"/>
          <w:szCs w:val="24"/>
        </w:rPr>
        <w:t xml:space="preserve"> a reference to </w:t>
      </w:r>
      <w:bookmarkStart w:id="12" w:name="_Hlk72350487"/>
      <w:r w:rsidR="00945343">
        <w:rPr>
          <w:rFonts w:cs="Times New Roman"/>
          <w:szCs w:val="24"/>
        </w:rPr>
        <w:t xml:space="preserve">what is now </w:t>
      </w:r>
      <w:r w:rsidR="00A15807">
        <w:rPr>
          <w:rFonts w:cs="Times New Roman"/>
          <w:szCs w:val="24"/>
        </w:rPr>
        <w:t>paragraph 7C-123 of Volume 2 of the White Book</w:t>
      </w:r>
      <w:r w:rsidR="00945343">
        <w:rPr>
          <w:rFonts w:cs="Times New Roman"/>
          <w:szCs w:val="24"/>
        </w:rPr>
        <w:t xml:space="preserve"> </w:t>
      </w:r>
      <w:r w:rsidR="00462348">
        <w:rPr>
          <w:rFonts w:cs="Times New Roman"/>
          <w:szCs w:val="24"/>
        </w:rPr>
        <w:t>2021</w:t>
      </w:r>
      <w:bookmarkEnd w:id="12"/>
      <w:r w:rsidR="00A15807">
        <w:rPr>
          <w:rFonts w:cs="Times New Roman"/>
          <w:szCs w:val="24"/>
        </w:rPr>
        <w:t>, which states</w:t>
      </w:r>
      <w:r w:rsidR="00462348">
        <w:rPr>
          <w:rFonts w:cs="Times New Roman"/>
          <w:szCs w:val="24"/>
        </w:rPr>
        <w:t>, inter alia,</w:t>
      </w:r>
      <w:r w:rsidR="00A15807">
        <w:rPr>
          <w:rFonts w:cs="Times New Roman"/>
          <w:szCs w:val="24"/>
        </w:rPr>
        <w:t xml:space="preserve"> that the amount </w:t>
      </w:r>
      <w:r w:rsidR="00CF2FB8">
        <w:rPr>
          <w:rFonts w:cs="Times New Roman"/>
          <w:szCs w:val="24"/>
        </w:rPr>
        <w:t>of</w:t>
      </w:r>
      <w:r w:rsidR="00A15807">
        <w:rPr>
          <w:rFonts w:cs="Times New Roman"/>
          <w:szCs w:val="24"/>
        </w:rPr>
        <w:t xml:space="preserve"> the bill:</w:t>
      </w:r>
    </w:p>
    <w:p w14:paraId="513C5379" w14:textId="17FF24D8" w:rsidR="00A15807" w:rsidRPr="001E7226" w:rsidRDefault="00462348" w:rsidP="00AC6944">
      <w:pPr>
        <w:pStyle w:val="ListParagraph"/>
        <w:spacing w:after="240" w:line="240" w:lineRule="auto"/>
        <w:ind w:left="1440"/>
        <w:contextualSpacing w:val="0"/>
        <w:jc w:val="both"/>
        <w:rPr>
          <w:rFonts w:cs="Times New Roman"/>
          <w:szCs w:val="24"/>
        </w:rPr>
      </w:pPr>
      <w:r>
        <w:rPr>
          <w:rFonts w:cs="Times New Roman"/>
          <w:szCs w:val="24"/>
        </w:rPr>
        <w:t>“… includes the full amount of the bill, and disregards the added expression “say X” (</w:t>
      </w:r>
      <w:r>
        <w:rPr>
          <w:rFonts w:cs="Times New Roman"/>
          <w:i/>
          <w:iCs/>
          <w:szCs w:val="24"/>
        </w:rPr>
        <w:t xml:space="preserve">Re Carthew </w:t>
      </w:r>
      <w:r>
        <w:rPr>
          <w:rFonts w:cs="Times New Roman"/>
          <w:szCs w:val="24"/>
        </w:rPr>
        <w:t xml:space="preserve">(1884) 27 Ch D 485; </w:t>
      </w:r>
      <w:r>
        <w:rPr>
          <w:rFonts w:cs="Times New Roman"/>
          <w:i/>
          <w:iCs/>
          <w:szCs w:val="24"/>
        </w:rPr>
        <w:t xml:space="preserve">Re Mackenzie </w:t>
      </w:r>
      <w:r>
        <w:rPr>
          <w:rFonts w:cs="Times New Roman"/>
          <w:szCs w:val="24"/>
        </w:rPr>
        <w:t>(189</w:t>
      </w:r>
      <w:r w:rsidR="007D07A3">
        <w:rPr>
          <w:rFonts w:cs="Times New Roman"/>
          <w:szCs w:val="24"/>
        </w:rPr>
        <w:t>4</w:t>
      </w:r>
      <w:r>
        <w:rPr>
          <w:rFonts w:cs="Times New Roman"/>
          <w:szCs w:val="24"/>
        </w:rPr>
        <w:t>) 69 L.T. 751) or the fact that a lesser figure is alone claimed (</w:t>
      </w:r>
      <w:r>
        <w:rPr>
          <w:rFonts w:cs="Times New Roman"/>
          <w:i/>
          <w:iCs/>
          <w:szCs w:val="24"/>
        </w:rPr>
        <w:t xml:space="preserve">Re Paull </w:t>
      </w:r>
      <w:r>
        <w:rPr>
          <w:rFonts w:cs="Times New Roman"/>
          <w:szCs w:val="24"/>
        </w:rPr>
        <w:t xml:space="preserve">(1884) Ch D 485).” </w:t>
      </w:r>
    </w:p>
    <w:p w14:paraId="5FAD49D5" w14:textId="1EB0F46A" w:rsidR="00457410" w:rsidRPr="001E7226" w:rsidRDefault="00462348" w:rsidP="00AC6944">
      <w:pPr>
        <w:pStyle w:val="ListParagraph"/>
        <w:numPr>
          <w:ilvl w:val="0"/>
          <w:numId w:val="15"/>
        </w:numPr>
        <w:spacing w:after="240" w:line="240" w:lineRule="auto"/>
        <w:contextualSpacing w:val="0"/>
        <w:jc w:val="both"/>
        <w:rPr>
          <w:rFonts w:cs="Times New Roman"/>
          <w:szCs w:val="24"/>
        </w:rPr>
      </w:pPr>
      <w:r>
        <w:rPr>
          <w:rFonts w:cs="Times New Roman"/>
          <w:szCs w:val="24"/>
        </w:rPr>
        <w:t xml:space="preserve">As I will explain, it appears to </w:t>
      </w:r>
      <w:r w:rsidR="00945343">
        <w:rPr>
          <w:rFonts w:cs="Times New Roman"/>
          <w:szCs w:val="24"/>
        </w:rPr>
        <w:t>me</w:t>
      </w:r>
      <w:r>
        <w:rPr>
          <w:rFonts w:cs="Times New Roman"/>
          <w:szCs w:val="24"/>
        </w:rPr>
        <w:t xml:space="preserve"> that this note is something </w:t>
      </w:r>
      <w:r w:rsidR="00CF2FB8">
        <w:rPr>
          <w:rFonts w:cs="Times New Roman"/>
          <w:szCs w:val="24"/>
        </w:rPr>
        <w:t>of</w:t>
      </w:r>
      <w:r>
        <w:rPr>
          <w:rFonts w:cs="Times New Roman"/>
          <w:szCs w:val="24"/>
        </w:rPr>
        <w:t xml:space="preserve"> an oversimplification.  </w:t>
      </w:r>
      <w:bookmarkStart w:id="13" w:name="_Hlk72661902"/>
      <w:r w:rsidR="00457410" w:rsidRPr="001E7226">
        <w:rPr>
          <w:rFonts w:cs="Times New Roman"/>
          <w:i/>
          <w:iCs/>
          <w:szCs w:val="24"/>
        </w:rPr>
        <w:t xml:space="preserve">Re Paull and re Carthew </w:t>
      </w:r>
      <w:bookmarkEnd w:id="13"/>
      <w:r w:rsidR="00457410" w:rsidRPr="001E7226">
        <w:rPr>
          <w:rFonts w:cs="Times New Roman"/>
          <w:szCs w:val="24"/>
        </w:rPr>
        <w:t>(1884) 27 Ch</w:t>
      </w:r>
      <w:r>
        <w:rPr>
          <w:rFonts w:cs="Times New Roman"/>
          <w:szCs w:val="24"/>
        </w:rPr>
        <w:t xml:space="preserve"> </w:t>
      </w:r>
      <w:r w:rsidR="00457410" w:rsidRPr="001E7226">
        <w:rPr>
          <w:rFonts w:cs="Times New Roman"/>
          <w:szCs w:val="24"/>
        </w:rPr>
        <w:t xml:space="preserve">D 485 </w:t>
      </w:r>
      <w:r>
        <w:rPr>
          <w:rFonts w:cs="Times New Roman"/>
          <w:szCs w:val="24"/>
        </w:rPr>
        <w:t xml:space="preserve">concerned </w:t>
      </w:r>
      <w:r w:rsidR="00457410" w:rsidRPr="001E7226">
        <w:rPr>
          <w:rFonts w:cs="Times New Roman"/>
          <w:szCs w:val="24"/>
        </w:rPr>
        <w:t>two bills of costs.  Carthew’s bill was for £83 3s 4d, but concluded with the words</w:t>
      </w:r>
      <w:r w:rsidR="004F5EA1">
        <w:rPr>
          <w:rFonts w:cs="Times New Roman"/>
          <w:szCs w:val="24"/>
        </w:rPr>
        <w:t>,</w:t>
      </w:r>
      <w:r w:rsidR="00457410" w:rsidRPr="001E7226">
        <w:rPr>
          <w:rFonts w:cs="Times New Roman"/>
          <w:szCs w:val="24"/>
        </w:rPr>
        <w:t xml:space="preserve"> “say £78”.  £78 was paid.  Paul’s bill was for £361 19s 2d, but the solicitor stated </w:t>
      </w:r>
      <w:r w:rsidR="00457410">
        <w:rPr>
          <w:rFonts w:cs="Times New Roman"/>
          <w:szCs w:val="24"/>
        </w:rPr>
        <w:t xml:space="preserve">separately </w:t>
      </w:r>
      <w:r w:rsidR="00457410" w:rsidRPr="001E7226">
        <w:rPr>
          <w:rFonts w:cs="Times New Roman"/>
          <w:szCs w:val="24"/>
        </w:rPr>
        <w:t>that he claimed only £320 16s 6d and that sum was paid.  In each case, the taxation resulted in a figure which was less than 5/6ths of the higher sum stated in the bill, and less than the lower sum demanded by the solicitor and paid to him, but</w:t>
      </w:r>
      <w:r w:rsidR="00457410" w:rsidRPr="00271219">
        <w:rPr>
          <w:rFonts w:cs="Times New Roman"/>
          <w:sz w:val="28"/>
          <w:szCs w:val="28"/>
        </w:rPr>
        <w:t xml:space="preserve"> </w:t>
      </w:r>
      <w:r w:rsidR="00457410" w:rsidRPr="001E7226">
        <w:rPr>
          <w:rFonts w:cs="Times New Roman"/>
          <w:szCs w:val="24"/>
        </w:rPr>
        <w:t>more than 5/6ths of that lower sum.</w:t>
      </w:r>
    </w:p>
    <w:p w14:paraId="15F66772" w14:textId="07B3201E" w:rsidR="00457410" w:rsidRPr="001E7226" w:rsidRDefault="00457410" w:rsidP="00AC6944">
      <w:pPr>
        <w:pStyle w:val="ListParagraph"/>
        <w:numPr>
          <w:ilvl w:val="0"/>
          <w:numId w:val="15"/>
        </w:numPr>
        <w:spacing w:after="240" w:line="240" w:lineRule="auto"/>
        <w:contextualSpacing w:val="0"/>
        <w:jc w:val="both"/>
        <w:rPr>
          <w:rFonts w:cs="Times New Roman"/>
          <w:szCs w:val="24"/>
        </w:rPr>
      </w:pPr>
      <w:r w:rsidRPr="001E7226">
        <w:rPr>
          <w:rFonts w:cs="Times New Roman"/>
          <w:szCs w:val="24"/>
        </w:rPr>
        <w:t xml:space="preserve">Section 37 of the Act for Consolidating and Amending Several of the Laws relating to Attorneys and Solicitors Practising in England and Wales 1843 </w:t>
      </w:r>
      <w:r w:rsidR="000B3090">
        <w:rPr>
          <w:rFonts w:cs="Times New Roman"/>
          <w:szCs w:val="24"/>
        </w:rPr>
        <w:t xml:space="preserve">(“the 1843 Act”) </w:t>
      </w:r>
      <w:r w:rsidRPr="001E7226">
        <w:rPr>
          <w:rFonts w:cs="Times New Roman"/>
          <w:szCs w:val="24"/>
        </w:rPr>
        <w:t>was the section then in force.  It provided as follows:</w:t>
      </w:r>
    </w:p>
    <w:p w14:paraId="28EB310B" w14:textId="7E826894" w:rsidR="00457410" w:rsidRPr="001E7226" w:rsidRDefault="00457410" w:rsidP="00AC6944">
      <w:pPr>
        <w:pStyle w:val="ListParagraph"/>
        <w:spacing w:after="240" w:line="240" w:lineRule="auto"/>
        <w:ind w:left="1440"/>
        <w:contextualSpacing w:val="0"/>
        <w:jc w:val="both"/>
        <w:rPr>
          <w:rFonts w:cs="Times New Roman"/>
          <w:szCs w:val="24"/>
        </w:rPr>
      </w:pPr>
      <w:r w:rsidRPr="001E7226">
        <w:rPr>
          <w:rFonts w:cs="Times New Roman"/>
          <w:szCs w:val="24"/>
        </w:rPr>
        <w:t>“… the costs of such reference shall, except as herein-after provided for, be paid according to the event of such taxation; that is to say, if such bill when taxed be less by a sixth part than the bill delivered … then such attorney or solicitor … shall pay such costs; and if such bill when taxed shall not be less by a sixth part than the bill delivered … then the party chargeable with such bill  … shall pay such costs ; …”</w:t>
      </w:r>
    </w:p>
    <w:p w14:paraId="61C5486A" w14:textId="01500050" w:rsidR="00457410" w:rsidRPr="001E7226" w:rsidRDefault="00457410" w:rsidP="00AC6944">
      <w:pPr>
        <w:pStyle w:val="ListParagraph"/>
        <w:numPr>
          <w:ilvl w:val="0"/>
          <w:numId w:val="15"/>
        </w:numPr>
        <w:spacing w:after="240" w:line="240" w:lineRule="auto"/>
        <w:contextualSpacing w:val="0"/>
        <w:jc w:val="both"/>
        <w:rPr>
          <w:rFonts w:cs="Times New Roman"/>
          <w:szCs w:val="24"/>
        </w:rPr>
      </w:pPr>
      <w:r w:rsidRPr="001E7226">
        <w:rPr>
          <w:rFonts w:cs="Times New Roman"/>
          <w:szCs w:val="24"/>
        </w:rPr>
        <w:t>In relation to Carthew’s bill, Baggallay LJ, with whom Cotton LJ agreed, said as follows</w:t>
      </w:r>
    </w:p>
    <w:p w14:paraId="6877E70B" w14:textId="77777777" w:rsidR="00457410" w:rsidRPr="001E7226" w:rsidRDefault="00457410" w:rsidP="00AC6944">
      <w:pPr>
        <w:pStyle w:val="ListParagraph"/>
        <w:spacing w:after="240" w:line="240" w:lineRule="auto"/>
        <w:ind w:left="1440"/>
        <w:contextualSpacing w:val="0"/>
        <w:jc w:val="both"/>
        <w:rPr>
          <w:rFonts w:cs="Times New Roman"/>
          <w:szCs w:val="24"/>
        </w:rPr>
      </w:pPr>
      <w:r>
        <w:rPr>
          <w:rFonts w:cs="Times New Roman"/>
          <w:szCs w:val="24"/>
        </w:rPr>
        <w:t>“</w:t>
      </w:r>
      <w:r w:rsidRPr="001E7226">
        <w:rPr>
          <w:rFonts w:cs="Times New Roman"/>
          <w:szCs w:val="24"/>
        </w:rPr>
        <w:t xml:space="preserve">The bill delivered was a detailed bill consisting of items amounting to £83 3s. 4d. At the foot of it was written “say £78,” and the signature followed these words. There was no letter accompanying the bill, so we can only infer the intention with which those words were written. It is not necessary to come to a very positive conclusion on the point; but I should say that the words in substance mean this, “Here is my bill for £83 3s. 4d. If you will pay £78 without taxation I will accept it in full discharge. If you do not I will take what taxation gives me.”” </w:t>
      </w:r>
    </w:p>
    <w:p w14:paraId="5AE77759" w14:textId="77777777" w:rsidR="00457410" w:rsidRPr="001E7226" w:rsidRDefault="00457410" w:rsidP="00AC6944">
      <w:pPr>
        <w:pStyle w:val="ListParagraph"/>
        <w:numPr>
          <w:ilvl w:val="0"/>
          <w:numId w:val="15"/>
        </w:numPr>
        <w:spacing w:after="240" w:line="240" w:lineRule="auto"/>
        <w:contextualSpacing w:val="0"/>
        <w:jc w:val="both"/>
        <w:rPr>
          <w:rFonts w:cs="Times New Roman"/>
          <w:szCs w:val="24"/>
        </w:rPr>
      </w:pPr>
      <w:r w:rsidRPr="001E7226">
        <w:rPr>
          <w:rFonts w:cs="Times New Roman"/>
          <w:szCs w:val="24"/>
        </w:rPr>
        <w:t>Lin</w:t>
      </w:r>
      <w:r>
        <w:rPr>
          <w:rFonts w:cs="Times New Roman"/>
          <w:szCs w:val="24"/>
        </w:rPr>
        <w:t>d</w:t>
      </w:r>
      <w:r w:rsidRPr="001E7226">
        <w:rPr>
          <w:rFonts w:cs="Times New Roman"/>
          <w:szCs w:val="24"/>
        </w:rPr>
        <w:t>ley LJ put it this way:</w:t>
      </w:r>
    </w:p>
    <w:p w14:paraId="7CDA6FD0" w14:textId="77777777" w:rsidR="00457410" w:rsidRPr="001E7226" w:rsidRDefault="00457410" w:rsidP="00AC6944">
      <w:pPr>
        <w:pStyle w:val="ListParagraph"/>
        <w:spacing w:after="240" w:line="240" w:lineRule="auto"/>
        <w:ind w:left="1440"/>
        <w:contextualSpacing w:val="0"/>
        <w:jc w:val="both"/>
        <w:rPr>
          <w:rFonts w:cs="Times New Roman"/>
          <w:szCs w:val="24"/>
        </w:rPr>
      </w:pPr>
      <w:r w:rsidRPr="001E7226">
        <w:rPr>
          <w:rFonts w:cs="Times New Roman"/>
          <w:szCs w:val="24"/>
        </w:rPr>
        <w:t>“The first point is, was it a bill for £78? It is impossible, in my opinion, to say that it was. It was a bill containing items making up £83 3s. 4d., with an offer to take a less sum, and it is impossible to say that the bill delivered within the meaning of the Act was a bill for £78.”</w:t>
      </w:r>
    </w:p>
    <w:p w14:paraId="630080A3" w14:textId="77777777" w:rsidR="00457410" w:rsidRPr="001E7226" w:rsidRDefault="00457410" w:rsidP="00AC6944">
      <w:pPr>
        <w:pStyle w:val="ListParagraph"/>
        <w:numPr>
          <w:ilvl w:val="0"/>
          <w:numId w:val="15"/>
        </w:numPr>
        <w:spacing w:after="240" w:line="240" w:lineRule="auto"/>
        <w:contextualSpacing w:val="0"/>
        <w:jc w:val="both"/>
        <w:rPr>
          <w:rFonts w:cs="Times New Roman"/>
          <w:szCs w:val="24"/>
        </w:rPr>
      </w:pPr>
      <w:r w:rsidRPr="001E7226">
        <w:rPr>
          <w:rFonts w:cs="Times New Roman"/>
          <w:szCs w:val="24"/>
        </w:rPr>
        <w:t>In relation to Paull’s bill, Baggallay LJ said as follows:</w:t>
      </w:r>
    </w:p>
    <w:p w14:paraId="2553D3A5" w14:textId="0AED4E44" w:rsidR="00457410" w:rsidRPr="001E7226" w:rsidRDefault="00457410" w:rsidP="00AC6944">
      <w:pPr>
        <w:pStyle w:val="ListParagraph"/>
        <w:spacing w:after="240" w:line="240" w:lineRule="auto"/>
        <w:ind w:left="1440"/>
        <w:contextualSpacing w:val="0"/>
        <w:jc w:val="both"/>
        <w:rPr>
          <w:rFonts w:cs="Times New Roman"/>
          <w:szCs w:val="24"/>
        </w:rPr>
      </w:pPr>
      <w:r>
        <w:rPr>
          <w:rFonts w:cs="Times New Roman"/>
          <w:szCs w:val="24"/>
        </w:rPr>
        <w:lastRenderedPageBreak/>
        <w:t>“</w:t>
      </w:r>
      <w:r w:rsidRPr="001E7226">
        <w:rPr>
          <w:rFonts w:cs="Times New Roman"/>
          <w:szCs w:val="24"/>
        </w:rPr>
        <w:t xml:space="preserve">In </w:t>
      </w:r>
      <w:r w:rsidRPr="00FA6EB5">
        <w:rPr>
          <w:rFonts w:cs="Times New Roman"/>
          <w:i/>
          <w:iCs/>
          <w:szCs w:val="24"/>
        </w:rPr>
        <w:t>In re Paul</w:t>
      </w:r>
      <w:r>
        <w:rPr>
          <w:rFonts w:cs="Times New Roman"/>
          <w:i/>
          <w:iCs/>
          <w:szCs w:val="24"/>
        </w:rPr>
        <w:t>l</w:t>
      </w:r>
      <w:r w:rsidRPr="001E7226">
        <w:rPr>
          <w:rFonts w:cs="Times New Roman"/>
          <w:szCs w:val="24"/>
        </w:rPr>
        <w:t xml:space="preserve"> an order was obtained under sect. 41 for taxation after payment. The bills as delivered amounted to £361 19s. 2d., but the solicitor stated that he claimed only £320 16s. 6d., which was £41 2s. 8d. less than the amount of the bills. He had previously delivered a cash account in which he had treated the bills as being of the lesser amount. An order for taxation after payment having been obtained, full bills were carried in and the Taxing Master disallowed £81 3s. 8d., reducing their amount to £280 15s. 6d., which is more than five-sixths of the £320 16s. 6d. but less than five-sixths of the £361 19s. 2d. If the matter stood there, I should say, as in Carthew’s Case, that the bill must be taken as at the larger amount, and that it must be considered that more than a sixth has been taxed off, and that the solicitor must pay the costs of the taxation.</w:t>
      </w:r>
      <w:r w:rsidR="000B3090">
        <w:rPr>
          <w:rFonts w:cs="Times New Roman"/>
          <w:szCs w:val="24"/>
        </w:rPr>
        <w:t>”</w:t>
      </w:r>
      <w:r w:rsidRPr="001E7226">
        <w:rPr>
          <w:rFonts w:cs="Times New Roman"/>
          <w:szCs w:val="24"/>
        </w:rPr>
        <w:t xml:space="preserve"> </w:t>
      </w:r>
    </w:p>
    <w:p w14:paraId="1BEB2009" w14:textId="7AABB011" w:rsidR="00457410" w:rsidRDefault="000B3090" w:rsidP="00AC6944">
      <w:pPr>
        <w:pStyle w:val="ListParagraph"/>
        <w:numPr>
          <w:ilvl w:val="0"/>
          <w:numId w:val="15"/>
        </w:numPr>
        <w:spacing w:after="240" w:line="240" w:lineRule="auto"/>
        <w:contextualSpacing w:val="0"/>
        <w:jc w:val="both"/>
        <w:rPr>
          <w:rFonts w:cs="Times New Roman"/>
          <w:szCs w:val="24"/>
        </w:rPr>
      </w:pPr>
      <w:r>
        <w:rPr>
          <w:rFonts w:cs="Times New Roman"/>
          <w:szCs w:val="24"/>
        </w:rPr>
        <w:t>Baggallay LJ then went on to consider that part of section 37 of the 1843 Act which was the predecessor of subsection 70(10) of the Solicitors Act 1974.  No issue arises as to that subsection on this appeal.</w:t>
      </w:r>
    </w:p>
    <w:p w14:paraId="68360ED8" w14:textId="289E282A" w:rsidR="007D07A3" w:rsidRPr="001E7226" w:rsidRDefault="007D07A3" w:rsidP="00AC6944">
      <w:pPr>
        <w:pStyle w:val="ListParagraph"/>
        <w:numPr>
          <w:ilvl w:val="0"/>
          <w:numId w:val="15"/>
        </w:numPr>
        <w:spacing w:after="240" w:line="240" w:lineRule="auto"/>
        <w:contextualSpacing w:val="0"/>
        <w:jc w:val="both"/>
        <w:rPr>
          <w:rFonts w:cs="Times New Roman"/>
          <w:szCs w:val="24"/>
        </w:rPr>
      </w:pPr>
      <w:r>
        <w:rPr>
          <w:rFonts w:cs="Times New Roman"/>
          <w:i/>
          <w:iCs/>
          <w:szCs w:val="24"/>
        </w:rPr>
        <w:t xml:space="preserve">Re Mackenzie </w:t>
      </w:r>
      <w:r>
        <w:rPr>
          <w:rFonts w:cs="Times New Roman"/>
          <w:szCs w:val="24"/>
        </w:rPr>
        <w:t xml:space="preserve">(1894) 69 L.T. 751 is referred to in paragraph 7C-123 of Volume 2 of the White Book 2021 and was the subject of written </w:t>
      </w:r>
      <w:r w:rsidR="00945343">
        <w:rPr>
          <w:rFonts w:cs="Times New Roman"/>
          <w:szCs w:val="24"/>
        </w:rPr>
        <w:t>submissions</w:t>
      </w:r>
      <w:r>
        <w:rPr>
          <w:rFonts w:cs="Times New Roman"/>
          <w:szCs w:val="24"/>
        </w:rPr>
        <w:t xml:space="preserve"> before the </w:t>
      </w:r>
      <w:r w:rsidR="0012732E">
        <w:rPr>
          <w:rFonts w:cs="Times New Roman"/>
          <w:szCs w:val="24"/>
        </w:rPr>
        <w:t>d</w:t>
      </w:r>
      <w:r w:rsidR="00E57DAB">
        <w:rPr>
          <w:rFonts w:cs="Times New Roman"/>
          <w:szCs w:val="24"/>
        </w:rPr>
        <w:t>istrict</w:t>
      </w:r>
      <w:r>
        <w:rPr>
          <w:rFonts w:cs="Times New Roman"/>
          <w:szCs w:val="24"/>
        </w:rPr>
        <w:t xml:space="preserve"> </w:t>
      </w:r>
      <w:r w:rsidR="0012732E">
        <w:rPr>
          <w:rFonts w:cs="Times New Roman"/>
          <w:szCs w:val="24"/>
        </w:rPr>
        <w:t>j</w:t>
      </w:r>
      <w:r w:rsidR="00E57DAB">
        <w:rPr>
          <w:rFonts w:cs="Times New Roman"/>
          <w:szCs w:val="24"/>
        </w:rPr>
        <w:t>udge</w:t>
      </w:r>
      <w:r>
        <w:rPr>
          <w:rFonts w:cs="Times New Roman"/>
          <w:szCs w:val="24"/>
        </w:rPr>
        <w:t xml:space="preserve">, </w:t>
      </w:r>
      <w:r w:rsidR="00945343">
        <w:rPr>
          <w:rFonts w:cs="Times New Roman"/>
          <w:szCs w:val="24"/>
        </w:rPr>
        <w:t>but</w:t>
      </w:r>
      <w:r>
        <w:rPr>
          <w:rFonts w:cs="Times New Roman"/>
          <w:szCs w:val="24"/>
        </w:rPr>
        <w:t xml:space="preserve"> neither party relied on it before me.</w:t>
      </w:r>
    </w:p>
    <w:p w14:paraId="2638AA80" w14:textId="3E5F80F4" w:rsidR="00457410" w:rsidRPr="001E7226" w:rsidRDefault="00651936" w:rsidP="00AC6944">
      <w:pPr>
        <w:pStyle w:val="ListParagraph"/>
        <w:numPr>
          <w:ilvl w:val="0"/>
          <w:numId w:val="15"/>
        </w:numPr>
        <w:spacing w:after="240" w:line="240" w:lineRule="auto"/>
        <w:contextualSpacing w:val="0"/>
        <w:jc w:val="both"/>
        <w:rPr>
          <w:rFonts w:cs="Times New Roman"/>
          <w:szCs w:val="24"/>
        </w:rPr>
      </w:pPr>
      <w:r>
        <w:rPr>
          <w:rFonts w:cs="Times New Roman"/>
          <w:szCs w:val="24"/>
        </w:rPr>
        <w:t xml:space="preserve">I drew the parties’ attention to </w:t>
      </w:r>
      <w:r w:rsidR="00457410" w:rsidRPr="001E7226">
        <w:rPr>
          <w:rFonts w:cs="Times New Roman"/>
          <w:i/>
          <w:iCs/>
          <w:szCs w:val="24"/>
        </w:rPr>
        <w:t xml:space="preserve">Re Hellard &amp; Bewes </w:t>
      </w:r>
      <w:r w:rsidR="00457410" w:rsidRPr="001E7226">
        <w:rPr>
          <w:rFonts w:cs="Times New Roman"/>
          <w:szCs w:val="24"/>
        </w:rPr>
        <w:t>[1896] 2 Ch 229</w:t>
      </w:r>
      <w:r>
        <w:rPr>
          <w:rFonts w:cs="Times New Roman"/>
          <w:szCs w:val="24"/>
        </w:rPr>
        <w:t>, which</w:t>
      </w:r>
      <w:r w:rsidR="00457410" w:rsidRPr="001E7226">
        <w:rPr>
          <w:rFonts w:cs="Times New Roman"/>
          <w:szCs w:val="24"/>
        </w:rPr>
        <w:t xml:space="preserve"> was not cited to the </w:t>
      </w:r>
      <w:r w:rsidR="0012732E">
        <w:rPr>
          <w:rFonts w:cs="Times New Roman"/>
          <w:szCs w:val="24"/>
        </w:rPr>
        <w:t>d</w:t>
      </w:r>
      <w:r w:rsidR="00E57DAB">
        <w:rPr>
          <w:rFonts w:cs="Times New Roman"/>
          <w:szCs w:val="24"/>
        </w:rPr>
        <w:t>istrict</w:t>
      </w:r>
      <w:r w:rsidR="00457410" w:rsidRPr="001E7226">
        <w:rPr>
          <w:rFonts w:cs="Times New Roman"/>
          <w:szCs w:val="24"/>
        </w:rPr>
        <w:t xml:space="preserve"> </w:t>
      </w:r>
      <w:r w:rsidR="0012732E">
        <w:rPr>
          <w:rFonts w:cs="Times New Roman"/>
          <w:szCs w:val="24"/>
        </w:rPr>
        <w:t>j</w:t>
      </w:r>
      <w:r w:rsidR="00E57DAB">
        <w:rPr>
          <w:rFonts w:cs="Times New Roman"/>
          <w:szCs w:val="24"/>
        </w:rPr>
        <w:t>udge</w:t>
      </w:r>
      <w:r>
        <w:rPr>
          <w:rFonts w:cs="Times New Roman"/>
          <w:szCs w:val="24"/>
        </w:rPr>
        <w:t xml:space="preserve"> (but which was cited in the appeal in </w:t>
      </w:r>
      <w:r w:rsidRPr="00651936">
        <w:rPr>
          <w:rFonts w:cs="Times New Roman"/>
          <w:i/>
          <w:iCs/>
          <w:szCs w:val="24"/>
        </w:rPr>
        <w:t xml:space="preserve">Belsner v Cam </w:t>
      </w:r>
      <w:r w:rsidR="00945343" w:rsidRPr="00651936">
        <w:rPr>
          <w:rFonts w:cs="Times New Roman"/>
          <w:i/>
          <w:iCs/>
          <w:szCs w:val="24"/>
        </w:rPr>
        <w:t>Legal</w:t>
      </w:r>
      <w:r w:rsidRPr="00651936">
        <w:rPr>
          <w:rFonts w:cs="Times New Roman"/>
          <w:i/>
          <w:iCs/>
          <w:szCs w:val="24"/>
        </w:rPr>
        <w:t xml:space="preserve"> </w:t>
      </w:r>
      <w:r w:rsidR="0012732E">
        <w:rPr>
          <w:rFonts w:cs="Times New Roman"/>
          <w:i/>
          <w:iCs/>
          <w:szCs w:val="24"/>
        </w:rPr>
        <w:t>S</w:t>
      </w:r>
      <w:r w:rsidRPr="00651936">
        <w:rPr>
          <w:rFonts w:cs="Times New Roman"/>
          <w:i/>
          <w:iCs/>
          <w:szCs w:val="24"/>
        </w:rPr>
        <w:t>ervices Ltd</w:t>
      </w:r>
      <w:r>
        <w:rPr>
          <w:rFonts w:cs="Times New Roman"/>
          <w:szCs w:val="24"/>
        </w:rPr>
        <w:t>).</w:t>
      </w:r>
      <w:r w:rsidR="00457410" w:rsidRPr="001E7226">
        <w:rPr>
          <w:rFonts w:cs="Times New Roman"/>
          <w:szCs w:val="24"/>
        </w:rPr>
        <w:t xml:space="preserve">    In connection with the grant of a lease, the lessor's solicitors wrote on 24 Decembe</w:t>
      </w:r>
      <w:r w:rsidR="00457410">
        <w:rPr>
          <w:rFonts w:cs="Times New Roman"/>
          <w:szCs w:val="24"/>
        </w:rPr>
        <w:t>r</w:t>
      </w:r>
      <w:r w:rsidR="00457410" w:rsidRPr="001E7226">
        <w:rPr>
          <w:rFonts w:cs="Times New Roman"/>
          <w:szCs w:val="24"/>
        </w:rPr>
        <w:t xml:space="preserve"> to the lessee’s solicitors</w:t>
      </w:r>
      <w:r w:rsidR="00457410">
        <w:rPr>
          <w:rFonts w:cs="Times New Roman"/>
          <w:szCs w:val="24"/>
        </w:rPr>
        <w:t xml:space="preserve"> to say</w:t>
      </w:r>
      <w:r w:rsidR="00457410" w:rsidRPr="001E7226">
        <w:rPr>
          <w:rFonts w:cs="Times New Roman"/>
          <w:szCs w:val="24"/>
        </w:rPr>
        <w:t xml:space="preserve"> that their charges in relation to the lease amounted to £7 11s.  On 1 January the lessee’s solicitors wrote asking for particulars of the charges. </w:t>
      </w:r>
      <w:r w:rsidR="000B3090">
        <w:rPr>
          <w:rFonts w:cs="Times New Roman"/>
          <w:szCs w:val="24"/>
        </w:rPr>
        <w:t>O</w:t>
      </w:r>
      <w:r w:rsidR="000B3090" w:rsidRPr="001E7226">
        <w:rPr>
          <w:rFonts w:cs="Times New Roman"/>
          <w:szCs w:val="24"/>
        </w:rPr>
        <w:t xml:space="preserve">n 2 January </w:t>
      </w:r>
      <w:r w:rsidR="00457410" w:rsidRPr="001E7226">
        <w:rPr>
          <w:rFonts w:cs="Times New Roman"/>
          <w:szCs w:val="24"/>
        </w:rPr>
        <w:t xml:space="preserve">the lessor’s solicitors </w:t>
      </w:r>
      <w:r w:rsidR="000B3090">
        <w:rPr>
          <w:rFonts w:cs="Times New Roman"/>
          <w:szCs w:val="24"/>
        </w:rPr>
        <w:t xml:space="preserve">replied by </w:t>
      </w:r>
      <w:r w:rsidR="00457410" w:rsidRPr="001E7226">
        <w:rPr>
          <w:rFonts w:cs="Times New Roman"/>
          <w:szCs w:val="24"/>
        </w:rPr>
        <w:t>sen</w:t>
      </w:r>
      <w:r w:rsidR="000B3090">
        <w:rPr>
          <w:rFonts w:cs="Times New Roman"/>
          <w:szCs w:val="24"/>
        </w:rPr>
        <w:t>ding</w:t>
      </w:r>
      <w:r w:rsidR="00457410" w:rsidRPr="001E7226">
        <w:rPr>
          <w:rFonts w:cs="Times New Roman"/>
          <w:szCs w:val="24"/>
        </w:rPr>
        <w:t xml:space="preserve"> a bill with detailed items, amounting to £10 10s 8d, adding at the foot, “Say £7 11s.” The lessee obtained an order to tax the bill, and on the taxation the whole of the </w:t>
      </w:r>
      <w:r w:rsidR="00457410">
        <w:rPr>
          <w:rFonts w:cs="Times New Roman"/>
          <w:szCs w:val="24"/>
        </w:rPr>
        <w:t>£</w:t>
      </w:r>
      <w:r w:rsidR="00457410" w:rsidRPr="001E7226">
        <w:rPr>
          <w:rFonts w:cs="Times New Roman"/>
          <w:szCs w:val="24"/>
        </w:rPr>
        <w:t>7 11s. was allowed.  North J held that the bill was delivered on 24 December, that the bill sent on 1 January was merely explanatory and that, the bill not having been reduced on taxation, the solicitors were entitled to the costs of the taxation.  In relation to the words, “Say £7 11s”, North J said:</w:t>
      </w:r>
    </w:p>
    <w:p w14:paraId="66F1B0F0" w14:textId="77777777" w:rsidR="00457410" w:rsidRPr="001E7226" w:rsidRDefault="00457410" w:rsidP="00AC6944">
      <w:pPr>
        <w:pStyle w:val="ListParagraph"/>
        <w:spacing w:after="240" w:line="240" w:lineRule="auto"/>
        <w:ind w:left="1440"/>
        <w:contextualSpacing w:val="0"/>
        <w:jc w:val="both"/>
        <w:rPr>
          <w:rFonts w:cs="Times New Roman"/>
          <w:szCs w:val="24"/>
        </w:rPr>
      </w:pPr>
      <w:r>
        <w:rPr>
          <w:rFonts w:cs="Times New Roman"/>
          <w:szCs w:val="24"/>
        </w:rPr>
        <w:t>“</w:t>
      </w:r>
      <w:r w:rsidRPr="001E7226">
        <w:rPr>
          <w:rFonts w:cs="Times New Roman"/>
          <w:szCs w:val="24"/>
        </w:rPr>
        <w:t xml:space="preserve">I understand that note when expanded to mean, “Our charge if made by items would amount to 10l. 10s. 8d., and that is more than the 7l. 11s. which we have already stated to be our whole claim in respect of the business comprised in this bill.” I think, therefore, that the taxing master was justified in saying that the 7l. 11s. was the bill actually claimed; and, although the mistake of treating the other document as the bill is perfectly intelligible now, yet it was a mistake, because the letter of December 24 was the bill. That being so, </w:t>
      </w:r>
      <w:r w:rsidRPr="001E7226">
        <w:rPr>
          <w:rFonts w:cs="Times New Roman"/>
          <w:i/>
          <w:iCs/>
          <w:szCs w:val="24"/>
        </w:rPr>
        <w:t>Re Tilleard</w:t>
      </w:r>
      <w:r w:rsidRPr="001E7226">
        <w:rPr>
          <w:rFonts w:cs="Times New Roman"/>
          <w:szCs w:val="24"/>
        </w:rPr>
        <w:t xml:space="preserve"> and </w:t>
      </w:r>
      <w:r w:rsidRPr="001E7226">
        <w:rPr>
          <w:rFonts w:cs="Times New Roman"/>
          <w:i/>
          <w:iCs/>
          <w:szCs w:val="24"/>
        </w:rPr>
        <w:t xml:space="preserve">Re Russell, Son &amp; Scott </w:t>
      </w:r>
      <w:r w:rsidRPr="001E7226">
        <w:rPr>
          <w:rFonts w:cs="Times New Roman"/>
          <w:szCs w:val="24"/>
        </w:rPr>
        <w:t>exactly apply, and I think the taxing master was right in following those cases.”</w:t>
      </w:r>
    </w:p>
    <w:p w14:paraId="7AB31561" w14:textId="6A6849BC" w:rsidR="00532B43" w:rsidRDefault="00DC0136" w:rsidP="00AC6944">
      <w:pPr>
        <w:pStyle w:val="ListParagraph"/>
        <w:numPr>
          <w:ilvl w:val="0"/>
          <w:numId w:val="15"/>
        </w:numPr>
        <w:spacing w:after="240" w:line="240" w:lineRule="auto"/>
        <w:contextualSpacing w:val="0"/>
        <w:jc w:val="both"/>
        <w:rPr>
          <w:rFonts w:cs="Times New Roman"/>
          <w:szCs w:val="24"/>
        </w:rPr>
      </w:pPr>
      <w:r>
        <w:rPr>
          <w:rFonts w:cs="Times New Roman"/>
          <w:szCs w:val="24"/>
        </w:rPr>
        <w:t xml:space="preserve">It is unnecessary to say anything about the facts of </w:t>
      </w:r>
      <w:r>
        <w:rPr>
          <w:rFonts w:cs="Times New Roman"/>
          <w:i/>
          <w:iCs/>
          <w:szCs w:val="24"/>
        </w:rPr>
        <w:t>Bentine</w:t>
      </w:r>
      <w:r w:rsidRPr="00FA6EB5">
        <w:rPr>
          <w:rFonts w:cs="Times New Roman"/>
          <w:i/>
          <w:iCs/>
          <w:szCs w:val="24"/>
        </w:rPr>
        <w:t xml:space="preserve"> v Bentine </w:t>
      </w:r>
      <w:r w:rsidRPr="00FA6EB5">
        <w:rPr>
          <w:rFonts w:cs="Times New Roman"/>
          <w:szCs w:val="24"/>
        </w:rPr>
        <w:t>[2016] Ch. 489</w:t>
      </w:r>
      <w:r>
        <w:rPr>
          <w:rFonts w:cs="Times New Roman"/>
          <w:szCs w:val="24"/>
        </w:rPr>
        <w:t xml:space="preserve">. </w:t>
      </w:r>
      <w:r w:rsidR="00532B43">
        <w:rPr>
          <w:rFonts w:cs="Times New Roman"/>
          <w:szCs w:val="24"/>
        </w:rPr>
        <w:t>Sales LJ said as follows in paragraph 5 of his judgment:</w:t>
      </w:r>
    </w:p>
    <w:p w14:paraId="3559736F" w14:textId="7BA0EFA3" w:rsidR="00532B43" w:rsidRPr="00532B43" w:rsidRDefault="00532B43" w:rsidP="00AC6944">
      <w:pPr>
        <w:spacing w:after="240" w:line="240" w:lineRule="auto"/>
        <w:ind w:left="1440"/>
        <w:jc w:val="both"/>
        <w:rPr>
          <w:rFonts w:cs="Times New Roman"/>
          <w:szCs w:val="24"/>
        </w:rPr>
      </w:pPr>
      <w:r>
        <w:rPr>
          <w:rFonts w:cs="Times New Roman"/>
          <w:szCs w:val="24"/>
        </w:rPr>
        <w:t>“</w:t>
      </w:r>
      <w:r w:rsidRPr="00532B43">
        <w:rPr>
          <w:rFonts w:cs="Times New Roman"/>
          <w:szCs w:val="24"/>
        </w:rPr>
        <w:t>Section 70(9) provides for a basic and simple default rule that the costs of the assessment should follow the event (ie be paid by the losing to the winning party), where the “event” (ie the criterion of who has won and who has lost) is defined by reference to whether a reduction in the amount of the bill of one fifth has been achieved by the client in the assessment (I refer to this as “the one-</w:t>
      </w:r>
      <w:r w:rsidRPr="00532B43">
        <w:rPr>
          <w:rFonts w:cs="Times New Roman"/>
          <w:szCs w:val="24"/>
        </w:rPr>
        <w:lastRenderedPageBreak/>
        <w:t>fifth rule”). However, subsection (10) allows the court to modify this position where the costs officer certifies that there are “special circumstances relating to a bill or to the assessment of a bill.”</w:t>
      </w:r>
      <w:r w:rsidR="00346E92">
        <w:rPr>
          <w:rFonts w:cs="Times New Roman"/>
          <w:szCs w:val="24"/>
        </w:rPr>
        <w:t>”</w:t>
      </w:r>
    </w:p>
    <w:p w14:paraId="6073087F" w14:textId="77777777" w:rsidR="00346E92" w:rsidRDefault="00346E92" w:rsidP="00AC6944">
      <w:pPr>
        <w:pStyle w:val="ListParagraph"/>
        <w:numPr>
          <w:ilvl w:val="0"/>
          <w:numId w:val="15"/>
        </w:numPr>
        <w:spacing w:after="240" w:line="240" w:lineRule="auto"/>
        <w:contextualSpacing w:val="0"/>
        <w:jc w:val="both"/>
        <w:rPr>
          <w:rFonts w:cs="Times New Roman"/>
          <w:szCs w:val="24"/>
        </w:rPr>
      </w:pPr>
      <w:r>
        <w:rPr>
          <w:rFonts w:cs="Times New Roman"/>
          <w:szCs w:val="24"/>
        </w:rPr>
        <w:t>Then in paragraph 7 he said as follows:</w:t>
      </w:r>
    </w:p>
    <w:p w14:paraId="549C3CFE" w14:textId="2EC58332" w:rsidR="00346E92" w:rsidRDefault="00346E92" w:rsidP="00AC6944">
      <w:pPr>
        <w:pStyle w:val="ListParagraph"/>
        <w:spacing w:after="240" w:line="240" w:lineRule="auto"/>
        <w:ind w:left="1440"/>
        <w:contextualSpacing w:val="0"/>
        <w:jc w:val="both"/>
        <w:rPr>
          <w:rFonts w:cs="Times New Roman"/>
          <w:szCs w:val="24"/>
        </w:rPr>
      </w:pPr>
      <w:r>
        <w:rPr>
          <w:rFonts w:cs="Times New Roman"/>
          <w:szCs w:val="24"/>
        </w:rPr>
        <w:t>“</w:t>
      </w:r>
      <w:r w:rsidRPr="00346E92">
        <w:rPr>
          <w:rFonts w:cs="Times New Roman"/>
          <w:szCs w:val="24"/>
        </w:rPr>
        <w:t>Disputes between solicitors and clients regarding the amount of solicitors' bills can be substantial, and the costs of resolving them can likewise be substantial.</w:t>
      </w:r>
      <w:r>
        <w:rPr>
          <w:rFonts w:cs="Times New Roman"/>
          <w:szCs w:val="24"/>
        </w:rPr>
        <w:t xml:space="preserve"> ..</w:t>
      </w:r>
      <w:r w:rsidRPr="00346E92">
        <w:rPr>
          <w:rFonts w:cs="Times New Roman"/>
          <w:szCs w:val="24"/>
        </w:rPr>
        <w:t xml:space="preserve">. Both client and solicitor benefit from knowing in advance what the basic default rule is governing the costs of an assessment, and what ordinarily counts as winning and losing, so that they can make a rational calculation of the risks involved in proceeding with a disputed assessment before a costs </w:t>
      </w:r>
      <w:r w:rsidR="00E57DAB">
        <w:rPr>
          <w:rFonts w:cs="Times New Roman"/>
          <w:szCs w:val="24"/>
        </w:rPr>
        <w:t>judge</w:t>
      </w:r>
      <w:r w:rsidRPr="00346E92">
        <w:rPr>
          <w:rFonts w:cs="Times New Roman"/>
          <w:szCs w:val="24"/>
        </w:rPr>
        <w:t>.</w:t>
      </w:r>
      <w:r>
        <w:rPr>
          <w:rFonts w:cs="Times New Roman"/>
          <w:szCs w:val="24"/>
        </w:rPr>
        <w:t>”</w:t>
      </w:r>
    </w:p>
    <w:p w14:paraId="0B21A0D9" w14:textId="3819E613" w:rsidR="00457410" w:rsidRPr="001E7226" w:rsidRDefault="00457410" w:rsidP="00AC6944">
      <w:pPr>
        <w:pStyle w:val="ListParagraph"/>
        <w:numPr>
          <w:ilvl w:val="0"/>
          <w:numId w:val="15"/>
        </w:numPr>
        <w:spacing w:after="240" w:line="240" w:lineRule="auto"/>
        <w:contextualSpacing w:val="0"/>
        <w:jc w:val="both"/>
        <w:rPr>
          <w:rFonts w:cs="Times New Roman"/>
          <w:szCs w:val="24"/>
        </w:rPr>
      </w:pPr>
      <w:r w:rsidRPr="001E7226">
        <w:rPr>
          <w:rFonts w:cs="Times New Roman"/>
          <w:szCs w:val="24"/>
        </w:rPr>
        <w:t xml:space="preserve">Arden LJ said as follows in paragraph </w:t>
      </w:r>
      <w:r>
        <w:rPr>
          <w:rFonts w:cs="Times New Roman"/>
          <w:szCs w:val="24"/>
        </w:rPr>
        <w:t>111</w:t>
      </w:r>
      <w:r w:rsidRPr="001E7226">
        <w:rPr>
          <w:rFonts w:cs="Times New Roman"/>
          <w:szCs w:val="24"/>
        </w:rPr>
        <w:t xml:space="preserve"> of her judgment:</w:t>
      </w:r>
    </w:p>
    <w:p w14:paraId="2424571C" w14:textId="77777777" w:rsidR="00457410" w:rsidRPr="001E7226" w:rsidRDefault="00457410" w:rsidP="00AC6944">
      <w:pPr>
        <w:pStyle w:val="ListParagraph"/>
        <w:spacing w:after="240" w:line="240" w:lineRule="auto"/>
        <w:ind w:left="1440"/>
        <w:contextualSpacing w:val="0"/>
        <w:jc w:val="both"/>
        <w:rPr>
          <w:rFonts w:cs="Times New Roman"/>
          <w:szCs w:val="24"/>
        </w:rPr>
      </w:pPr>
      <w:r>
        <w:rPr>
          <w:rFonts w:cs="Times New Roman"/>
          <w:szCs w:val="24"/>
        </w:rPr>
        <w:t>“</w:t>
      </w:r>
      <w:r w:rsidRPr="003E58D4">
        <w:rPr>
          <w:rFonts w:cs="Times New Roman"/>
          <w:szCs w:val="24"/>
        </w:rPr>
        <w:t>In my judgment, the policy behind section 70(9) is that the remedy under section 70 should be efficacious and that potential claimants should not be disincentivised from bringing claims under section 70 by the usual costs-shifting rule. The result of the usual cost-shifting rule would be that, if the solicitors were successful in obtaining judgment for their bill they would in the absence of other factors obtain an order for costs. Without section 70(9), this would be so even if it was reduced by 20% or more. Section 70(9) displaces that result.</w:t>
      </w:r>
      <w:r>
        <w:rPr>
          <w:rFonts w:cs="Times New Roman"/>
          <w:szCs w:val="24"/>
        </w:rPr>
        <w:t>”</w:t>
      </w:r>
    </w:p>
    <w:p w14:paraId="4F6AF92E" w14:textId="77777777" w:rsidR="00DC0136" w:rsidRDefault="00DC0136" w:rsidP="00AC6944">
      <w:pPr>
        <w:pStyle w:val="ListParagraph"/>
        <w:numPr>
          <w:ilvl w:val="0"/>
          <w:numId w:val="15"/>
        </w:numPr>
        <w:spacing w:after="240" w:line="240" w:lineRule="auto"/>
        <w:contextualSpacing w:val="0"/>
        <w:jc w:val="both"/>
        <w:rPr>
          <w:rFonts w:cs="Times New Roman"/>
          <w:szCs w:val="24"/>
        </w:rPr>
      </w:pPr>
      <w:r w:rsidRPr="00FA6EB5">
        <w:rPr>
          <w:rFonts w:cs="Times New Roman"/>
          <w:szCs w:val="24"/>
        </w:rPr>
        <w:t xml:space="preserve">In </w:t>
      </w:r>
      <w:bookmarkStart w:id="14" w:name="_Hlk72661059"/>
      <w:r>
        <w:rPr>
          <w:rFonts w:cs="Times New Roman"/>
          <w:i/>
          <w:iCs/>
          <w:szCs w:val="24"/>
        </w:rPr>
        <w:t>Bentine</w:t>
      </w:r>
      <w:r w:rsidRPr="00FA6EB5">
        <w:rPr>
          <w:rFonts w:cs="Times New Roman"/>
          <w:i/>
          <w:iCs/>
          <w:szCs w:val="24"/>
        </w:rPr>
        <w:t xml:space="preserve"> v Bentine</w:t>
      </w:r>
      <w:r w:rsidRPr="00FA6EB5">
        <w:rPr>
          <w:rFonts w:cs="Times New Roman"/>
          <w:szCs w:val="24"/>
        </w:rPr>
        <w:t xml:space="preserve"> </w:t>
      </w:r>
      <w:bookmarkEnd w:id="14"/>
      <w:r w:rsidRPr="00FA6EB5">
        <w:rPr>
          <w:rFonts w:cs="Times New Roman"/>
          <w:szCs w:val="24"/>
        </w:rPr>
        <w:t xml:space="preserve">the three </w:t>
      </w:r>
      <w:r>
        <w:rPr>
          <w:rFonts w:cs="Times New Roman"/>
          <w:szCs w:val="24"/>
        </w:rPr>
        <w:t>judge</w:t>
      </w:r>
      <w:r w:rsidRPr="00FA6EB5">
        <w:rPr>
          <w:rFonts w:cs="Times New Roman"/>
          <w:szCs w:val="24"/>
        </w:rPr>
        <w:t>s expressed differing views on the effect of the fact that the Solicitors Act 1974 was a consolidation Act</w:t>
      </w:r>
      <w:r>
        <w:rPr>
          <w:rFonts w:cs="Times New Roman"/>
          <w:szCs w:val="24"/>
        </w:rPr>
        <w:t xml:space="preserve">: see paragraphs 42 to 57 (per Sales LJ), 73 to 80 (per Sir Bernard Rix) and 100 and 102 to 108 (per Arden LJ, who, as Lady Arden, referred in paragraph 89 of her judgment in </w:t>
      </w:r>
      <w:r w:rsidRPr="00C735A8">
        <w:rPr>
          <w:rFonts w:cs="Times New Roman"/>
          <w:i/>
          <w:iCs/>
          <w:szCs w:val="24"/>
        </w:rPr>
        <w:t>R. (on the application of Derry) v Revenue and Customs Commissioners</w:t>
      </w:r>
      <w:r>
        <w:rPr>
          <w:rFonts w:cs="Times New Roman"/>
          <w:szCs w:val="24"/>
        </w:rPr>
        <w:t xml:space="preserve"> [2019] 1 WLR 2754 to the issue discussed in </w:t>
      </w:r>
      <w:r w:rsidRPr="00C735A8">
        <w:rPr>
          <w:rFonts w:cs="Times New Roman"/>
          <w:i/>
          <w:iCs/>
          <w:szCs w:val="24"/>
        </w:rPr>
        <w:t>Bentine v Bentin</w:t>
      </w:r>
      <w:r>
        <w:rPr>
          <w:rFonts w:cs="Times New Roman"/>
          <w:i/>
          <w:iCs/>
          <w:szCs w:val="24"/>
        </w:rPr>
        <w:t>e</w:t>
      </w:r>
      <w:r>
        <w:rPr>
          <w:rFonts w:cs="Times New Roman"/>
          <w:szCs w:val="24"/>
        </w:rPr>
        <w:t xml:space="preserve"> as one which was yet to be resolved).  Arden LJ identified the issue as follows:</w:t>
      </w:r>
    </w:p>
    <w:p w14:paraId="7E065ADA" w14:textId="0F5D50C2" w:rsidR="00DC0136" w:rsidRDefault="00DC0136" w:rsidP="00AC6944">
      <w:pPr>
        <w:pStyle w:val="ListParagraph"/>
        <w:spacing w:after="240" w:line="240" w:lineRule="auto"/>
        <w:ind w:left="1440"/>
        <w:contextualSpacing w:val="0"/>
        <w:jc w:val="both"/>
        <w:rPr>
          <w:rFonts w:cs="Times New Roman"/>
          <w:szCs w:val="24"/>
        </w:rPr>
      </w:pPr>
      <w:bookmarkStart w:id="15" w:name="_Hlk72661741"/>
      <w:r>
        <w:t>“</w:t>
      </w:r>
      <w:r w:rsidRPr="00DC0136">
        <w:rPr>
          <w:i/>
          <w:iCs/>
        </w:rPr>
        <w:t>Farrell v Alexander</w:t>
      </w:r>
      <w:r>
        <w:t xml:space="preserve"> [1977] AC 59 establishes, that where the meaning of a consolidation statute is clear, the court should not generally investigate its “antecedents”: </w:t>
      </w:r>
      <w:bookmarkEnd w:id="15"/>
      <w:r>
        <w:t xml:space="preserve">see per Lord Wilberforce, at p 73, Lord Simon of Glaisdale, at p 83, and Lord Edmund-Davies, at p 97. It should interpret the statute afresh according to its ordinary meaning. Those antecedents include earlier judicial authorities as well as earlier legislative provisions. But it does not follow that the interpretation of a consolidation statute in this way authorises the court to ignore some earlier authority on an earlier legislative provision which has been consolidated </w:t>
      </w:r>
      <w:r w:rsidRPr="00DC0136">
        <w:rPr>
          <w:i/>
          <w:iCs/>
        </w:rPr>
        <w:t>where that authority is binding on it under the doctrine of precedent</w:t>
      </w:r>
      <w:r>
        <w:t>.”</w:t>
      </w:r>
    </w:p>
    <w:p w14:paraId="5B1CAE18" w14:textId="46AF53FE" w:rsidR="00DC0136" w:rsidRDefault="00DC0136" w:rsidP="00AC6944">
      <w:pPr>
        <w:pStyle w:val="ListParagraph"/>
        <w:numPr>
          <w:ilvl w:val="0"/>
          <w:numId w:val="15"/>
        </w:numPr>
        <w:spacing w:after="240" w:line="240" w:lineRule="auto"/>
        <w:contextualSpacing w:val="0"/>
        <w:jc w:val="both"/>
        <w:rPr>
          <w:rFonts w:cs="Times New Roman"/>
          <w:szCs w:val="24"/>
        </w:rPr>
      </w:pPr>
      <w:r>
        <w:rPr>
          <w:rFonts w:cs="Times New Roman"/>
          <w:szCs w:val="24"/>
        </w:rPr>
        <w:t>In the present case, subsection 70(9) of the Solicitors Act 1974 Act and section 37 of the 1843 Act were not identically worded, in particular because section 37 did not contain the phrase “the amount of the bill”, but there is scope for debate as to whether the current subsection is materially different from its predecessor, such that a case decided on section 37 of the 1843 Act remains binding when considering subsection 70(9) of the Solicitors Act 1974.</w:t>
      </w:r>
    </w:p>
    <w:p w14:paraId="212EA271" w14:textId="23B2737F" w:rsidR="00457410" w:rsidRPr="001E7226" w:rsidRDefault="00457410" w:rsidP="00AC6944">
      <w:pPr>
        <w:pStyle w:val="ListParagraph"/>
        <w:numPr>
          <w:ilvl w:val="0"/>
          <w:numId w:val="15"/>
        </w:numPr>
        <w:spacing w:after="240" w:line="240" w:lineRule="auto"/>
        <w:contextualSpacing w:val="0"/>
        <w:jc w:val="both"/>
        <w:rPr>
          <w:rFonts w:cs="Times New Roman"/>
          <w:szCs w:val="24"/>
        </w:rPr>
      </w:pPr>
      <w:r w:rsidRPr="001E7226">
        <w:rPr>
          <w:rFonts w:cs="Times New Roman"/>
          <w:szCs w:val="24"/>
        </w:rPr>
        <w:lastRenderedPageBreak/>
        <w:t xml:space="preserve">I was also taken to the unreported decision of Master Rowley given on 26 July 2017 in </w:t>
      </w:r>
      <w:r w:rsidRPr="001E7226">
        <w:rPr>
          <w:rFonts w:cs="Times New Roman"/>
          <w:i/>
          <w:iCs/>
          <w:szCs w:val="24"/>
        </w:rPr>
        <w:t xml:space="preserve">Breyer Group Plc v Prospect Law Limited.  </w:t>
      </w:r>
      <w:r w:rsidRPr="001E7226">
        <w:rPr>
          <w:rFonts w:cs="Times New Roman"/>
          <w:szCs w:val="24"/>
        </w:rPr>
        <w:t>The solicitors in that case had received payments on account totalling £73,720 plus VAT.  When asked to produce a statute bill, i.e. a bill which complied with the requirements of section 70</w:t>
      </w:r>
      <w:r w:rsidR="000374D5">
        <w:rPr>
          <w:rFonts w:cs="Times New Roman"/>
          <w:szCs w:val="24"/>
        </w:rPr>
        <w:t xml:space="preserve"> of the Solicitors Act 1974</w:t>
      </w:r>
      <w:r w:rsidRPr="001E7226">
        <w:rPr>
          <w:rFonts w:cs="Times New Roman"/>
          <w:szCs w:val="24"/>
        </w:rPr>
        <w:t>, they produced a bill with an attached breakdown.  The breakdown contained items totalling £99,804.91 plus VAT.  The bill gave that figure, but then contained the words “Limited to the amount previously billed” and gave the figure of £73,320 plus VAT.  Master Rowley decided that “the amount of the bill” for the purposes of section 70(9) was £7</w:t>
      </w:r>
      <w:r>
        <w:rPr>
          <w:rFonts w:cs="Times New Roman"/>
          <w:szCs w:val="24"/>
        </w:rPr>
        <w:t>3</w:t>
      </w:r>
      <w:r w:rsidRPr="001E7226">
        <w:rPr>
          <w:rFonts w:cs="Times New Roman"/>
          <w:szCs w:val="24"/>
        </w:rPr>
        <w:t>,320 plus VAT.</w:t>
      </w:r>
    </w:p>
    <w:p w14:paraId="357C499F" w14:textId="641968B6" w:rsidR="00457410" w:rsidRPr="00D76F39" w:rsidRDefault="00457410" w:rsidP="00AC6944">
      <w:pPr>
        <w:spacing w:after="240" w:line="240" w:lineRule="auto"/>
        <w:ind w:left="720"/>
        <w:jc w:val="both"/>
        <w:rPr>
          <w:rFonts w:cs="Times New Roman"/>
          <w:b/>
          <w:bCs/>
          <w:i/>
          <w:iCs/>
          <w:szCs w:val="24"/>
        </w:rPr>
      </w:pPr>
      <w:r w:rsidRPr="00D76F39">
        <w:rPr>
          <w:rFonts w:cs="Times New Roman"/>
          <w:b/>
          <w:bCs/>
          <w:i/>
          <w:iCs/>
          <w:szCs w:val="24"/>
        </w:rPr>
        <w:t>(</w:t>
      </w:r>
      <w:r w:rsidR="00D76F39" w:rsidRPr="00D76F39">
        <w:rPr>
          <w:rFonts w:cs="Times New Roman"/>
          <w:b/>
          <w:bCs/>
          <w:i/>
          <w:iCs/>
          <w:szCs w:val="24"/>
        </w:rPr>
        <w:t>6</w:t>
      </w:r>
      <w:r w:rsidRPr="00D76F39">
        <w:rPr>
          <w:rFonts w:cs="Times New Roman"/>
          <w:b/>
          <w:bCs/>
          <w:i/>
          <w:iCs/>
          <w:szCs w:val="24"/>
        </w:rPr>
        <w:t>)</w:t>
      </w:r>
      <w:r w:rsidR="00D76F39" w:rsidRPr="00D76F39">
        <w:rPr>
          <w:rFonts w:cs="Times New Roman"/>
          <w:b/>
          <w:bCs/>
          <w:i/>
          <w:iCs/>
          <w:szCs w:val="24"/>
        </w:rPr>
        <w:t>(</w:t>
      </w:r>
      <w:r w:rsidR="000374D5">
        <w:rPr>
          <w:rFonts w:cs="Times New Roman"/>
          <w:b/>
          <w:bCs/>
          <w:i/>
          <w:iCs/>
          <w:szCs w:val="24"/>
        </w:rPr>
        <w:t>c</w:t>
      </w:r>
      <w:r w:rsidR="00D76F39" w:rsidRPr="00D76F39">
        <w:rPr>
          <w:rFonts w:cs="Times New Roman"/>
          <w:b/>
          <w:bCs/>
          <w:i/>
          <w:iCs/>
          <w:szCs w:val="24"/>
        </w:rPr>
        <w:t>)</w:t>
      </w:r>
      <w:r w:rsidRPr="00D76F39">
        <w:rPr>
          <w:rFonts w:cs="Times New Roman"/>
          <w:b/>
          <w:bCs/>
          <w:i/>
          <w:iCs/>
          <w:szCs w:val="24"/>
        </w:rPr>
        <w:t xml:space="preserve"> </w:t>
      </w:r>
      <w:r w:rsidR="00D76F39" w:rsidRPr="00D76F39">
        <w:rPr>
          <w:rFonts w:cs="Times New Roman"/>
          <w:b/>
          <w:bCs/>
          <w:i/>
          <w:iCs/>
          <w:szCs w:val="24"/>
        </w:rPr>
        <w:t xml:space="preserve">Ground 3: </w:t>
      </w:r>
      <w:r w:rsidR="00AC6944">
        <w:rPr>
          <w:rFonts w:cs="Times New Roman"/>
          <w:b/>
          <w:bCs/>
          <w:i/>
          <w:iCs/>
          <w:szCs w:val="24"/>
        </w:rPr>
        <w:t>Decision</w:t>
      </w:r>
    </w:p>
    <w:p w14:paraId="7C2137C4" w14:textId="4F467BB1" w:rsidR="00457410" w:rsidRPr="00982D04" w:rsidRDefault="00457410" w:rsidP="00AC6944">
      <w:pPr>
        <w:pStyle w:val="ListParagraph"/>
        <w:numPr>
          <w:ilvl w:val="0"/>
          <w:numId w:val="15"/>
        </w:numPr>
        <w:spacing w:after="240" w:line="240" w:lineRule="auto"/>
        <w:contextualSpacing w:val="0"/>
        <w:jc w:val="both"/>
        <w:rPr>
          <w:rFonts w:cs="Times New Roman"/>
          <w:szCs w:val="24"/>
        </w:rPr>
      </w:pPr>
      <w:r w:rsidRPr="00982D04">
        <w:rPr>
          <w:rFonts w:cs="Times New Roman"/>
          <w:szCs w:val="24"/>
        </w:rPr>
        <w:t xml:space="preserve">In my judgment, the key to the issue which arises under subsection 70(9) is the construction of subsection 70(9) and, in particular, the phrase, “the amount of the bill”.   Since a bill of costs is a demand for payment, it is in my judgment plain that the amount of a bill is the amount demanded by the bill.  </w:t>
      </w:r>
    </w:p>
    <w:p w14:paraId="216566B2" w14:textId="4F27BA51" w:rsidR="00457410" w:rsidRPr="001E7226" w:rsidRDefault="00457410" w:rsidP="00AC6944">
      <w:pPr>
        <w:pStyle w:val="ListParagraph"/>
        <w:numPr>
          <w:ilvl w:val="0"/>
          <w:numId w:val="15"/>
        </w:numPr>
        <w:spacing w:after="240" w:line="240" w:lineRule="auto"/>
        <w:contextualSpacing w:val="0"/>
        <w:jc w:val="both"/>
        <w:rPr>
          <w:rFonts w:cs="Times New Roman"/>
          <w:szCs w:val="24"/>
        </w:rPr>
      </w:pPr>
      <w:r w:rsidRPr="001E7226">
        <w:rPr>
          <w:rFonts w:cs="Times New Roman"/>
          <w:szCs w:val="24"/>
        </w:rPr>
        <w:t xml:space="preserve">That conclusion is not inconsistent with any </w:t>
      </w:r>
      <w:r>
        <w:rPr>
          <w:rFonts w:cs="Times New Roman"/>
          <w:szCs w:val="24"/>
        </w:rPr>
        <w:t>of</w:t>
      </w:r>
      <w:r w:rsidRPr="001E7226">
        <w:rPr>
          <w:rFonts w:cs="Times New Roman"/>
          <w:szCs w:val="24"/>
        </w:rPr>
        <w:t xml:space="preserve"> the authorities.  In particular, </w:t>
      </w:r>
      <w:r w:rsidRPr="00982D04">
        <w:rPr>
          <w:rFonts w:cs="Times New Roman"/>
          <w:i/>
          <w:iCs/>
          <w:szCs w:val="24"/>
        </w:rPr>
        <w:t>Br</w:t>
      </w:r>
      <w:r>
        <w:rPr>
          <w:rFonts w:cs="Times New Roman"/>
          <w:i/>
          <w:iCs/>
          <w:szCs w:val="24"/>
        </w:rPr>
        <w:t>e</w:t>
      </w:r>
      <w:r w:rsidRPr="00982D04">
        <w:rPr>
          <w:rFonts w:cs="Times New Roman"/>
          <w:i/>
          <w:iCs/>
          <w:szCs w:val="24"/>
        </w:rPr>
        <w:t>yer Group Plc v Prospect Law Limited</w:t>
      </w:r>
      <w:r w:rsidRPr="001E7226">
        <w:rPr>
          <w:rFonts w:cs="Times New Roman"/>
          <w:szCs w:val="24"/>
        </w:rPr>
        <w:t xml:space="preserve"> w</w:t>
      </w:r>
      <w:r w:rsidR="0012732E">
        <w:rPr>
          <w:rFonts w:cs="Times New Roman"/>
          <w:szCs w:val="24"/>
        </w:rPr>
        <w:t xml:space="preserve">as an </w:t>
      </w:r>
      <w:r w:rsidR="00ED0402" w:rsidRPr="001E7226">
        <w:rPr>
          <w:rFonts w:cs="Times New Roman"/>
          <w:szCs w:val="24"/>
        </w:rPr>
        <w:t>example of a case</w:t>
      </w:r>
      <w:r w:rsidRPr="001E7226">
        <w:rPr>
          <w:rFonts w:cs="Times New Roman"/>
          <w:szCs w:val="24"/>
        </w:rPr>
        <w:t xml:space="preserve"> in which a bill contained a demand for one amount, but also identified a larger amount which the solicitor contended that he could have charged.  The decision of Master Rowley in </w:t>
      </w:r>
      <w:r w:rsidRPr="00982D04">
        <w:rPr>
          <w:rFonts w:cs="Times New Roman"/>
          <w:i/>
          <w:iCs/>
          <w:szCs w:val="24"/>
        </w:rPr>
        <w:t>Br</w:t>
      </w:r>
      <w:r>
        <w:rPr>
          <w:rFonts w:cs="Times New Roman"/>
          <w:i/>
          <w:iCs/>
          <w:szCs w:val="24"/>
        </w:rPr>
        <w:t>e</w:t>
      </w:r>
      <w:r w:rsidRPr="00982D04">
        <w:rPr>
          <w:rFonts w:cs="Times New Roman"/>
          <w:i/>
          <w:iCs/>
          <w:szCs w:val="24"/>
        </w:rPr>
        <w:t xml:space="preserve">yer Group Plc v Prospect Law Limited </w:t>
      </w:r>
      <w:r w:rsidRPr="001E7226">
        <w:rPr>
          <w:rFonts w:cs="Times New Roman"/>
          <w:szCs w:val="24"/>
        </w:rPr>
        <w:t>was that the amount of the bill in that case was the lesser amount demanded, rather than the greater amount which might have be</w:t>
      </w:r>
      <w:r>
        <w:rPr>
          <w:rFonts w:cs="Times New Roman"/>
          <w:szCs w:val="24"/>
        </w:rPr>
        <w:t>en</w:t>
      </w:r>
      <w:r w:rsidRPr="001E7226">
        <w:rPr>
          <w:rFonts w:cs="Times New Roman"/>
          <w:szCs w:val="24"/>
        </w:rPr>
        <w:t xml:space="preserve"> demanded.  It is, moreover, a decision on subsection 70(9) of the 1974 Act.  </w:t>
      </w:r>
    </w:p>
    <w:p w14:paraId="4A218451" w14:textId="43D3E4A7" w:rsidR="00457410" w:rsidRPr="001E7226" w:rsidRDefault="00457410" w:rsidP="00AC6944">
      <w:pPr>
        <w:pStyle w:val="ListParagraph"/>
        <w:numPr>
          <w:ilvl w:val="0"/>
          <w:numId w:val="15"/>
        </w:numPr>
        <w:spacing w:after="240" w:line="240" w:lineRule="auto"/>
        <w:contextualSpacing w:val="0"/>
        <w:jc w:val="both"/>
        <w:rPr>
          <w:rFonts w:cs="Times New Roman"/>
          <w:szCs w:val="24"/>
        </w:rPr>
      </w:pPr>
      <w:r w:rsidRPr="001E7226">
        <w:rPr>
          <w:rFonts w:cs="Times New Roman"/>
          <w:szCs w:val="24"/>
        </w:rPr>
        <w:t xml:space="preserve">The </w:t>
      </w:r>
      <w:r w:rsidR="00651936">
        <w:rPr>
          <w:rFonts w:cs="Times New Roman"/>
          <w:szCs w:val="24"/>
        </w:rPr>
        <w:t>older</w:t>
      </w:r>
      <w:r w:rsidRPr="001E7226">
        <w:rPr>
          <w:rFonts w:cs="Times New Roman"/>
          <w:szCs w:val="24"/>
        </w:rPr>
        <w:t xml:space="preserve"> cases to which I </w:t>
      </w:r>
      <w:r w:rsidR="00651936">
        <w:rPr>
          <w:rFonts w:cs="Times New Roman"/>
          <w:szCs w:val="24"/>
        </w:rPr>
        <w:t>have</w:t>
      </w:r>
      <w:r w:rsidRPr="001E7226">
        <w:rPr>
          <w:rFonts w:cs="Times New Roman"/>
          <w:szCs w:val="24"/>
        </w:rPr>
        <w:t xml:space="preserve"> referred were decisions on section 37 </w:t>
      </w:r>
      <w:r>
        <w:rPr>
          <w:rFonts w:cs="Times New Roman"/>
          <w:szCs w:val="24"/>
        </w:rPr>
        <w:t xml:space="preserve">of </w:t>
      </w:r>
      <w:r w:rsidRPr="001E7226">
        <w:rPr>
          <w:rFonts w:cs="Times New Roman"/>
          <w:szCs w:val="24"/>
        </w:rPr>
        <w:t>the 1843 Act, which was differently worded.  I do</w:t>
      </w:r>
      <w:r w:rsidR="0028347B">
        <w:rPr>
          <w:rFonts w:cs="Times New Roman"/>
          <w:szCs w:val="24"/>
        </w:rPr>
        <w:t>ubt whether</w:t>
      </w:r>
      <w:r w:rsidRPr="001E7226">
        <w:rPr>
          <w:rFonts w:cs="Times New Roman"/>
          <w:szCs w:val="24"/>
        </w:rPr>
        <w:t xml:space="preserve"> </w:t>
      </w:r>
      <w:bookmarkStart w:id="16" w:name="_Hlk72661938"/>
      <w:r w:rsidR="0028347B" w:rsidRPr="001E7226">
        <w:rPr>
          <w:rFonts w:cs="Times New Roman"/>
          <w:i/>
          <w:iCs/>
          <w:szCs w:val="24"/>
        </w:rPr>
        <w:t xml:space="preserve">Re Paull and re Carthew </w:t>
      </w:r>
      <w:bookmarkEnd w:id="16"/>
      <w:r w:rsidRPr="001E7226">
        <w:rPr>
          <w:rFonts w:cs="Times New Roman"/>
          <w:szCs w:val="24"/>
        </w:rPr>
        <w:t>can be regarded as binding authority on the construction of a phrase which is not to b</w:t>
      </w:r>
      <w:r>
        <w:rPr>
          <w:rFonts w:cs="Times New Roman"/>
          <w:szCs w:val="24"/>
        </w:rPr>
        <w:t>e</w:t>
      </w:r>
      <w:r w:rsidRPr="001E7226">
        <w:rPr>
          <w:rFonts w:cs="Times New Roman"/>
          <w:szCs w:val="24"/>
        </w:rPr>
        <w:t xml:space="preserve"> found in the legislation under which </w:t>
      </w:r>
      <w:r w:rsidR="0028347B">
        <w:rPr>
          <w:rFonts w:cs="Times New Roman"/>
          <w:szCs w:val="24"/>
        </w:rPr>
        <w:t>it</w:t>
      </w:r>
      <w:r w:rsidRPr="001E7226">
        <w:rPr>
          <w:rFonts w:cs="Times New Roman"/>
          <w:szCs w:val="24"/>
        </w:rPr>
        <w:t xml:space="preserve"> w</w:t>
      </w:r>
      <w:r w:rsidR="0028347B">
        <w:rPr>
          <w:rFonts w:cs="Times New Roman"/>
          <w:szCs w:val="24"/>
        </w:rPr>
        <w:t>as</w:t>
      </w:r>
      <w:r w:rsidRPr="001E7226">
        <w:rPr>
          <w:rFonts w:cs="Times New Roman"/>
          <w:szCs w:val="24"/>
        </w:rPr>
        <w:t xml:space="preserve"> decided.</w:t>
      </w:r>
      <w:r w:rsidR="0028347B">
        <w:rPr>
          <w:rFonts w:cs="Times New Roman"/>
          <w:szCs w:val="24"/>
        </w:rPr>
        <w:t xml:space="preserve">  However, unless it is </w:t>
      </w:r>
      <w:r w:rsidR="008B2C7D">
        <w:rPr>
          <w:rFonts w:cs="Times New Roman"/>
          <w:szCs w:val="24"/>
        </w:rPr>
        <w:t xml:space="preserve">a </w:t>
      </w:r>
      <w:r w:rsidR="0028347B">
        <w:rPr>
          <w:rFonts w:cs="Times New Roman"/>
          <w:szCs w:val="24"/>
        </w:rPr>
        <w:t>binding</w:t>
      </w:r>
      <w:r w:rsidR="008B2C7D">
        <w:rPr>
          <w:rFonts w:cs="Times New Roman"/>
          <w:szCs w:val="24"/>
        </w:rPr>
        <w:t xml:space="preserve"> authority</w:t>
      </w:r>
      <w:r w:rsidR="0028347B">
        <w:rPr>
          <w:rFonts w:cs="Times New Roman"/>
          <w:szCs w:val="24"/>
        </w:rPr>
        <w:t xml:space="preserve">, </w:t>
      </w:r>
      <w:r w:rsidR="0028347B" w:rsidRPr="00DC0136">
        <w:rPr>
          <w:i/>
          <w:iCs/>
        </w:rPr>
        <w:t>Farrell v Alexander</w:t>
      </w:r>
      <w:r w:rsidR="0028347B">
        <w:t xml:space="preserve"> [1977] AC 59 is authority that, if the meaning of subsection 70(9) is clear (which I consider that it is), </w:t>
      </w:r>
      <w:r w:rsidR="0028347B" w:rsidRPr="001E7226">
        <w:rPr>
          <w:rFonts w:cs="Times New Roman"/>
          <w:i/>
          <w:iCs/>
          <w:szCs w:val="24"/>
        </w:rPr>
        <w:t xml:space="preserve">Re Paull and re Carthew </w:t>
      </w:r>
      <w:r w:rsidR="0028347B">
        <w:t xml:space="preserve">should be disregarded.  Indeed, </w:t>
      </w:r>
      <w:r w:rsidR="0028347B" w:rsidRPr="0028347B">
        <w:rPr>
          <w:i/>
          <w:iCs/>
        </w:rPr>
        <w:t>Bentin</w:t>
      </w:r>
      <w:r w:rsidR="0028347B">
        <w:rPr>
          <w:i/>
          <w:iCs/>
        </w:rPr>
        <w:t>e</w:t>
      </w:r>
      <w:r w:rsidR="0028347B" w:rsidRPr="0028347B">
        <w:rPr>
          <w:i/>
          <w:iCs/>
        </w:rPr>
        <w:t xml:space="preserve"> v Bentin</w:t>
      </w:r>
      <w:r w:rsidR="0028347B">
        <w:rPr>
          <w:i/>
          <w:iCs/>
        </w:rPr>
        <w:t>e</w:t>
      </w:r>
      <w:r w:rsidR="0028347B">
        <w:t xml:space="preserve"> has left open the question whether, even if</w:t>
      </w:r>
      <w:r w:rsidR="008B2C7D">
        <w:t xml:space="preserve"> the decision in </w:t>
      </w:r>
      <w:r w:rsidR="008B2C7D" w:rsidRPr="001E7226">
        <w:rPr>
          <w:rFonts w:cs="Times New Roman"/>
          <w:i/>
          <w:iCs/>
          <w:szCs w:val="24"/>
        </w:rPr>
        <w:t xml:space="preserve">Re Paull and re </w:t>
      </w:r>
      <w:proofErr w:type="spellStart"/>
      <w:r w:rsidR="008B2C7D" w:rsidRPr="001E7226">
        <w:rPr>
          <w:rFonts w:cs="Times New Roman"/>
          <w:i/>
          <w:iCs/>
          <w:szCs w:val="24"/>
        </w:rPr>
        <w:t>Carthew</w:t>
      </w:r>
      <w:proofErr w:type="spellEnd"/>
      <w:r w:rsidR="008B2C7D" w:rsidRPr="001E7226">
        <w:rPr>
          <w:rFonts w:cs="Times New Roman"/>
          <w:i/>
          <w:iCs/>
          <w:szCs w:val="24"/>
        </w:rPr>
        <w:t xml:space="preserve"> </w:t>
      </w:r>
      <w:r w:rsidR="0028347B">
        <w:t>would otherwise be binding, it should be disregarded.</w:t>
      </w:r>
    </w:p>
    <w:p w14:paraId="02DE0679" w14:textId="2701FA5C" w:rsidR="00457410" w:rsidRPr="001E7226" w:rsidRDefault="00457410" w:rsidP="00AC6944">
      <w:pPr>
        <w:pStyle w:val="ListParagraph"/>
        <w:numPr>
          <w:ilvl w:val="0"/>
          <w:numId w:val="15"/>
        </w:numPr>
        <w:spacing w:after="240" w:line="240" w:lineRule="auto"/>
        <w:contextualSpacing w:val="0"/>
        <w:jc w:val="both"/>
        <w:rPr>
          <w:rFonts w:cs="Times New Roman"/>
          <w:szCs w:val="24"/>
        </w:rPr>
      </w:pPr>
      <w:r w:rsidRPr="001E7226">
        <w:rPr>
          <w:rFonts w:cs="Times New Roman"/>
          <w:szCs w:val="24"/>
        </w:rPr>
        <w:t>I</w:t>
      </w:r>
      <w:r>
        <w:rPr>
          <w:rFonts w:cs="Times New Roman"/>
          <w:szCs w:val="24"/>
        </w:rPr>
        <w:t>n</w:t>
      </w:r>
      <w:r w:rsidRPr="001E7226">
        <w:rPr>
          <w:rFonts w:cs="Times New Roman"/>
          <w:szCs w:val="24"/>
        </w:rPr>
        <w:t xml:space="preserve"> any event, I do not consider that my reading of subsection 70(9) of the </w:t>
      </w:r>
      <w:r w:rsidR="00A807E6">
        <w:rPr>
          <w:rFonts w:cs="Times New Roman"/>
          <w:szCs w:val="24"/>
        </w:rPr>
        <w:t xml:space="preserve">Solicitors Act 1974 </w:t>
      </w:r>
      <w:r w:rsidRPr="001E7226">
        <w:rPr>
          <w:rFonts w:cs="Times New Roman"/>
          <w:szCs w:val="24"/>
        </w:rPr>
        <w:t xml:space="preserve">Act is in any way inconsistent with the relevant parts of the decision </w:t>
      </w:r>
      <w:r>
        <w:rPr>
          <w:rFonts w:cs="Times New Roman"/>
          <w:szCs w:val="24"/>
        </w:rPr>
        <w:t>i</w:t>
      </w:r>
      <w:r w:rsidRPr="001E7226">
        <w:rPr>
          <w:rFonts w:cs="Times New Roman"/>
          <w:szCs w:val="24"/>
        </w:rPr>
        <w:t xml:space="preserve">n </w:t>
      </w:r>
      <w:r w:rsidRPr="00982D04">
        <w:rPr>
          <w:rFonts w:cs="Times New Roman"/>
          <w:i/>
          <w:iCs/>
          <w:szCs w:val="24"/>
        </w:rPr>
        <w:t xml:space="preserve">Re </w:t>
      </w:r>
      <w:r w:rsidR="008B2C7D">
        <w:rPr>
          <w:rFonts w:cs="Times New Roman"/>
          <w:i/>
          <w:iCs/>
          <w:szCs w:val="24"/>
        </w:rPr>
        <w:t xml:space="preserve">Paull and re </w:t>
      </w:r>
      <w:proofErr w:type="spellStart"/>
      <w:r w:rsidR="000B3090">
        <w:rPr>
          <w:rFonts w:cs="Times New Roman"/>
          <w:i/>
          <w:iCs/>
          <w:szCs w:val="24"/>
        </w:rPr>
        <w:t>Carthew</w:t>
      </w:r>
      <w:proofErr w:type="spellEnd"/>
      <w:r w:rsidRPr="001E7226">
        <w:rPr>
          <w:rFonts w:cs="Times New Roman"/>
          <w:szCs w:val="24"/>
        </w:rPr>
        <w:t>.  I</w:t>
      </w:r>
      <w:r>
        <w:rPr>
          <w:rFonts w:cs="Times New Roman"/>
          <w:szCs w:val="24"/>
        </w:rPr>
        <w:t>n</w:t>
      </w:r>
      <w:r w:rsidRPr="001E7226">
        <w:rPr>
          <w:rFonts w:cs="Times New Roman"/>
          <w:szCs w:val="24"/>
        </w:rPr>
        <w:t xml:space="preserve"> particular:</w:t>
      </w:r>
    </w:p>
    <w:p w14:paraId="1AAB0AC7" w14:textId="261744AC" w:rsidR="00457410" w:rsidRDefault="00457410" w:rsidP="00AC6944">
      <w:pPr>
        <w:pStyle w:val="ListParagraph"/>
        <w:numPr>
          <w:ilvl w:val="1"/>
          <w:numId w:val="15"/>
        </w:numPr>
        <w:spacing w:after="240" w:line="240" w:lineRule="auto"/>
        <w:contextualSpacing w:val="0"/>
        <w:jc w:val="both"/>
        <w:rPr>
          <w:rFonts w:cs="Times New Roman"/>
          <w:szCs w:val="24"/>
        </w:rPr>
      </w:pPr>
      <w:r w:rsidRPr="001E7226">
        <w:rPr>
          <w:rFonts w:cs="Times New Roman"/>
          <w:szCs w:val="24"/>
        </w:rPr>
        <w:t xml:space="preserve">The decision in </w:t>
      </w:r>
      <w:r w:rsidRPr="0043185E">
        <w:rPr>
          <w:rFonts w:cs="Times New Roman"/>
          <w:i/>
          <w:iCs/>
          <w:szCs w:val="24"/>
        </w:rPr>
        <w:t xml:space="preserve">Re </w:t>
      </w:r>
      <w:r w:rsidR="00651936">
        <w:rPr>
          <w:rFonts w:cs="Times New Roman"/>
          <w:i/>
          <w:iCs/>
          <w:szCs w:val="24"/>
        </w:rPr>
        <w:t>Carthew</w:t>
      </w:r>
      <w:r w:rsidRPr="001E7226">
        <w:rPr>
          <w:rFonts w:cs="Times New Roman"/>
          <w:szCs w:val="24"/>
        </w:rPr>
        <w:t xml:space="preserve"> turned on the construction of the particular bill at issue in that case.  The Court of Appeal did not purport to lay down any general rule that a bill which said, in effect, </w:t>
      </w:r>
      <w:r>
        <w:rPr>
          <w:rFonts w:cs="Times New Roman"/>
          <w:szCs w:val="24"/>
        </w:rPr>
        <w:t>“</w:t>
      </w:r>
      <w:r w:rsidRPr="001E7226">
        <w:rPr>
          <w:rFonts w:cs="Times New Roman"/>
          <w:szCs w:val="24"/>
        </w:rPr>
        <w:t>I could demand x, but I demand the lesser sum of y</w:t>
      </w:r>
      <w:r>
        <w:rPr>
          <w:rFonts w:cs="Times New Roman"/>
          <w:szCs w:val="24"/>
        </w:rPr>
        <w:t>”</w:t>
      </w:r>
      <w:r w:rsidRPr="001E7226">
        <w:rPr>
          <w:rFonts w:cs="Times New Roman"/>
          <w:szCs w:val="24"/>
        </w:rPr>
        <w:t>, was a bill for x rather than y.  On the contrary, it is implicit in the reasoning of Baggallay LJ that, if he had interpreted the bill in that case as saying “I could demand £83</w:t>
      </w:r>
      <w:r>
        <w:rPr>
          <w:rFonts w:cs="Times New Roman"/>
          <w:szCs w:val="24"/>
        </w:rPr>
        <w:t xml:space="preserve"> 3s 4d</w:t>
      </w:r>
      <w:r w:rsidRPr="001E7226">
        <w:rPr>
          <w:rFonts w:cs="Times New Roman"/>
          <w:szCs w:val="24"/>
        </w:rPr>
        <w:t xml:space="preserve">, but I </w:t>
      </w:r>
      <w:r>
        <w:rPr>
          <w:rFonts w:cs="Times New Roman"/>
          <w:szCs w:val="24"/>
        </w:rPr>
        <w:t xml:space="preserve">only </w:t>
      </w:r>
      <w:r w:rsidRPr="001E7226">
        <w:rPr>
          <w:rFonts w:cs="Times New Roman"/>
          <w:szCs w:val="24"/>
        </w:rPr>
        <w:t>demand £78</w:t>
      </w:r>
      <w:r>
        <w:rPr>
          <w:rFonts w:cs="Times New Roman"/>
          <w:szCs w:val="24"/>
        </w:rPr>
        <w:t>”</w:t>
      </w:r>
      <w:r w:rsidRPr="001E7226">
        <w:rPr>
          <w:rFonts w:cs="Times New Roman"/>
          <w:szCs w:val="24"/>
        </w:rPr>
        <w:t>, then he would have treated it is a bill for £78.</w:t>
      </w:r>
      <w:r>
        <w:rPr>
          <w:rFonts w:cs="Times New Roman"/>
          <w:szCs w:val="24"/>
        </w:rPr>
        <w:t xml:space="preserve">  He treated it instead as a bill which contained both a demand for £83 3s 4d and an offer (which was unaccepted and therefore of no effect) to compromise that demand if the client paid £78.  </w:t>
      </w:r>
    </w:p>
    <w:p w14:paraId="28A0EC4D" w14:textId="53529639" w:rsidR="00651936" w:rsidRPr="001E7226" w:rsidRDefault="00651936" w:rsidP="00AC6944">
      <w:pPr>
        <w:pStyle w:val="ListParagraph"/>
        <w:numPr>
          <w:ilvl w:val="1"/>
          <w:numId w:val="15"/>
        </w:numPr>
        <w:spacing w:after="240" w:line="240" w:lineRule="auto"/>
        <w:contextualSpacing w:val="0"/>
        <w:jc w:val="both"/>
        <w:rPr>
          <w:rFonts w:cs="Times New Roman"/>
          <w:szCs w:val="24"/>
        </w:rPr>
      </w:pPr>
      <w:r>
        <w:rPr>
          <w:rFonts w:cs="Times New Roman"/>
          <w:szCs w:val="24"/>
        </w:rPr>
        <w:t xml:space="preserve">Contrary to what is said in paragraph 7C-123 of Volume 2 of the White Book, I do </w:t>
      </w:r>
      <w:r w:rsidR="00514C75">
        <w:rPr>
          <w:rFonts w:cs="Times New Roman"/>
          <w:szCs w:val="24"/>
        </w:rPr>
        <w:t>not</w:t>
      </w:r>
      <w:r>
        <w:rPr>
          <w:rFonts w:cs="Times New Roman"/>
          <w:szCs w:val="24"/>
        </w:rPr>
        <w:t xml:space="preserve"> read </w:t>
      </w:r>
      <w:r>
        <w:rPr>
          <w:rFonts w:cs="Times New Roman"/>
          <w:i/>
          <w:iCs/>
          <w:szCs w:val="24"/>
        </w:rPr>
        <w:t xml:space="preserve">Re Carthew </w:t>
      </w:r>
      <w:r>
        <w:rPr>
          <w:rFonts w:cs="Times New Roman"/>
          <w:szCs w:val="24"/>
        </w:rPr>
        <w:t xml:space="preserve">as laying down a general rule that the words, </w:t>
      </w:r>
      <w:r w:rsidR="00C90F39">
        <w:rPr>
          <w:rFonts w:cs="Times New Roman"/>
          <w:szCs w:val="24"/>
        </w:rPr>
        <w:t>“</w:t>
      </w:r>
      <w:r>
        <w:rPr>
          <w:rFonts w:cs="Times New Roman"/>
          <w:szCs w:val="24"/>
        </w:rPr>
        <w:t xml:space="preserve">Say X” in a bill must always be </w:t>
      </w:r>
      <w:r w:rsidR="00E57DAB">
        <w:rPr>
          <w:rFonts w:cs="Times New Roman"/>
          <w:szCs w:val="24"/>
        </w:rPr>
        <w:t>disregarded</w:t>
      </w:r>
      <w:r>
        <w:rPr>
          <w:rFonts w:cs="Times New Roman"/>
          <w:szCs w:val="24"/>
        </w:rPr>
        <w:t xml:space="preserve">.  On the contrary, </w:t>
      </w:r>
      <w:r w:rsidRPr="00651936">
        <w:rPr>
          <w:rFonts w:cs="Times New Roman"/>
          <w:i/>
          <w:iCs/>
          <w:szCs w:val="24"/>
        </w:rPr>
        <w:t>Re Hellard &amp; Bewes</w:t>
      </w:r>
      <w:r w:rsidRPr="00651936">
        <w:rPr>
          <w:rFonts w:cs="Times New Roman"/>
          <w:szCs w:val="24"/>
        </w:rPr>
        <w:t xml:space="preserve"> </w:t>
      </w:r>
      <w:r w:rsidRPr="00651936">
        <w:rPr>
          <w:rFonts w:cs="Times New Roman"/>
          <w:szCs w:val="24"/>
        </w:rPr>
        <w:lastRenderedPageBreak/>
        <w:t>[1896] 2 Ch 229</w:t>
      </w:r>
      <w:r>
        <w:rPr>
          <w:rFonts w:cs="Times New Roman"/>
          <w:szCs w:val="24"/>
        </w:rPr>
        <w:t xml:space="preserve"> is </w:t>
      </w:r>
      <w:r w:rsidR="000374D5">
        <w:rPr>
          <w:rFonts w:cs="Times New Roman"/>
          <w:szCs w:val="24"/>
        </w:rPr>
        <w:t>an example of a case in which t</w:t>
      </w:r>
      <w:r>
        <w:rPr>
          <w:rFonts w:cs="Times New Roman"/>
          <w:szCs w:val="24"/>
        </w:rPr>
        <w:t xml:space="preserve">he words, “Say X” </w:t>
      </w:r>
      <w:r w:rsidR="000374D5">
        <w:rPr>
          <w:rFonts w:cs="Times New Roman"/>
          <w:szCs w:val="24"/>
        </w:rPr>
        <w:t xml:space="preserve">were </w:t>
      </w:r>
      <w:r>
        <w:rPr>
          <w:rFonts w:cs="Times New Roman"/>
          <w:szCs w:val="24"/>
        </w:rPr>
        <w:t xml:space="preserve">interpreted as </w:t>
      </w:r>
      <w:r w:rsidR="000374D5">
        <w:rPr>
          <w:rFonts w:cs="Times New Roman"/>
          <w:szCs w:val="24"/>
        </w:rPr>
        <w:t>meaning that t</w:t>
      </w:r>
      <w:r>
        <w:rPr>
          <w:rFonts w:cs="Times New Roman"/>
          <w:szCs w:val="24"/>
        </w:rPr>
        <w:t xml:space="preserve">he amount </w:t>
      </w:r>
      <w:r w:rsidR="0012732E">
        <w:rPr>
          <w:rFonts w:cs="Times New Roman"/>
          <w:szCs w:val="24"/>
        </w:rPr>
        <w:t>demanded was X (although the principal ratio of North J’s decision was that the document which contained the words, “Say £7 11s” was not the bill</w:t>
      </w:r>
      <w:r w:rsidR="00AC6944">
        <w:rPr>
          <w:rFonts w:cs="Times New Roman"/>
          <w:szCs w:val="24"/>
        </w:rPr>
        <w:t xml:space="preserve"> in that case</w:t>
      </w:r>
      <w:r w:rsidR="0012732E">
        <w:rPr>
          <w:rFonts w:cs="Times New Roman"/>
          <w:szCs w:val="24"/>
        </w:rPr>
        <w:t xml:space="preserve">). </w:t>
      </w:r>
    </w:p>
    <w:p w14:paraId="2EC93E53" w14:textId="7EA9886B" w:rsidR="00457410" w:rsidRPr="001E7226" w:rsidRDefault="00457410" w:rsidP="00AC6944">
      <w:pPr>
        <w:pStyle w:val="ListParagraph"/>
        <w:numPr>
          <w:ilvl w:val="1"/>
          <w:numId w:val="15"/>
        </w:numPr>
        <w:spacing w:after="240" w:line="240" w:lineRule="auto"/>
        <w:contextualSpacing w:val="0"/>
        <w:jc w:val="both"/>
        <w:rPr>
          <w:rFonts w:cs="Times New Roman"/>
          <w:szCs w:val="24"/>
        </w:rPr>
      </w:pPr>
      <w:r w:rsidRPr="001E7226">
        <w:rPr>
          <w:rFonts w:cs="Times New Roman"/>
          <w:szCs w:val="24"/>
        </w:rPr>
        <w:t xml:space="preserve">As for </w:t>
      </w:r>
      <w:r w:rsidRPr="0043185E">
        <w:rPr>
          <w:rFonts w:cs="Times New Roman"/>
          <w:i/>
          <w:iCs/>
          <w:szCs w:val="24"/>
        </w:rPr>
        <w:t xml:space="preserve">Re </w:t>
      </w:r>
      <w:r w:rsidR="00651936">
        <w:rPr>
          <w:rFonts w:cs="Times New Roman"/>
          <w:i/>
          <w:iCs/>
          <w:szCs w:val="24"/>
        </w:rPr>
        <w:t>Paull</w:t>
      </w:r>
      <w:r w:rsidRPr="001E7226">
        <w:rPr>
          <w:rFonts w:cs="Times New Roman"/>
          <w:szCs w:val="24"/>
        </w:rPr>
        <w:t>, it appears that the only figure mentioned in the bill in that case was the figure of £36</w:t>
      </w:r>
      <w:r>
        <w:rPr>
          <w:rFonts w:cs="Times New Roman"/>
          <w:szCs w:val="24"/>
        </w:rPr>
        <w:t>1 19s 2d.  The offer to accept less was separate from the bill, and so the bill remained a demand for £361 19s 2d.</w:t>
      </w:r>
    </w:p>
    <w:p w14:paraId="7968D250" w14:textId="25320F9F" w:rsidR="00457410" w:rsidRDefault="00457410" w:rsidP="00AC6944">
      <w:pPr>
        <w:pStyle w:val="ListParagraph"/>
        <w:numPr>
          <w:ilvl w:val="0"/>
          <w:numId w:val="15"/>
        </w:numPr>
        <w:spacing w:after="240" w:line="240" w:lineRule="auto"/>
        <w:contextualSpacing w:val="0"/>
        <w:jc w:val="both"/>
        <w:rPr>
          <w:rFonts w:cs="Times New Roman"/>
          <w:szCs w:val="24"/>
        </w:rPr>
      </w:pPr>
      <w:r w:rsidRPr="001E7226">
        <w:rPr>
          <w:rFonts w:cs="Times New Roman"/>
          <w:szCs w:val="24"/>
        </w:rPr>
        <w:t xml:space="preserve">It </w:t>
      </w:r>
      <w:r w:rsidR="00457831">
        <w:rPr>
          <w:rFonts w:cs="Times New Roman"/>
          <w:szCs w:val="24"/>
        </w:rPr>
        <w:t xml:space="preserve">is clear from his judgment that the </w:t>
      </w:r>
      <w:r w:rsidR="0012732E">
        <w:rPr>
          <w:rFonts w:cs="Times New Roman"/>
          <w:szCs w:val="24"/>
        </w:rPr>
        <w:t>d</w:t>
      </w:r>
      <w:r w:rsidR="00E57DAB">
        <w:rPr>
          <w:rFonts w:cs="Times New Roman"/>
          <w:szCs w:val="24"/>
        </w:rPr>
        <w:t>istrict</w:t>
      </w:r>
      <w:r w:rsidR="00457831">
        <w:rPr>
          <w:rFonts w:cs="Times New Roman"/>
          <w:szCs w:val="24"/>
        </w:rPr>
        <w:t xml:space="preserve"> </w:t>
      </w:r>
      <w:r w:rsidR="0012732E">
        <w:rPr>
          <w:rFonts w:cs="Times New Roman"/>
          <w:szCs w:val="24"/>
        </w:rPr>
        <w:t>j</w:t>
      </w:r>
      <w:r w:rsidR="00E57DAB">
        <w:rPr>
          <w:rFonts w:cs="Times New Roman"/>
          <w:szCs w:val="24"/>
        </w:rPr>
        <w:t>udge</w:t>
      </w:r>
      <w:r w:rsidR="00457831">
        <w:rPr>
          <w:rFonts w:cs="Times New Roman"/>
          <w:szCs w:val="24"/>
        </w:rPr>
        <w:t xml:space="preserve"> was affected by what he </w:t>
      </w:r>
      <w:r w:rsidR="0012732E">
        <w:rPr>
          <w:rFonts w:cs="Times New Roman"/>
          <w:szCs w:val="24"/>
        </w:rPr>
        <w:t>understandably</w:t>
      </w:r>
      <w:r w:rsidR="00457831">
        <w:rPr>
          <w:rFonts w:cs="Times New Roman"/>
          <w:szCs w:val="24"/>
        </w:rPr>
        <w:t xml:space="preserve"> perceived to be a lack of clarity in the Defendant’s bill.  It </w:t>
      </w:r>
      <w:r w:rsidR="00514C75">
        <w:rPr>
          <w:rFonts w:cs="Times New Roman"/>
          <w:szCs w:val="24"/>
        </w:rPr>
        <w:t>is</w:t>
      </w:r>
      <w:r w:rsidR="00457831">
        <w:rPr>
          <w:rFonts w:cs="Times New Roman"/>
          <w:szCs w:val="24"/>
        </w:rPr>
        <w:t xml:space="preserve"> a curious feature </w:t>
      </w:r>
      <w:r w:rsidR="00CF2FB8">
        <w:rPr>
          <w:rFonts w:cs="Times New Roman"/>
          <w:szCs w:val="24"/>
        </w:rPr>
        <w:t>of</w:t>
      </w:r>
      <w:r w:rsidR="00457831">
        <w:rPr>
          <w:rFonts w:cs="Times New Roman"/>
          <w:szCs w:val="24"/>
        </w:rPr>
        <w:t xml:space="preserve"> this case </w:t>
      </w:r>
      <w:r w:rsidR="00023F21">
        <w:rPr>
          <w:rFonts w:cs="Times New Roman"/>
          <w:szCs w:val="24"/>
        </w:rPr>
        <w:t>t</w:t>
      </w:r>
      <w:r w:rsidR="00457831">
        <w:rPr>
          <w:rFonts w:cs="Times New Roman"/>
          <w:szCs w:val="24"/>
        </w:rPr>
        <w:t xml:space="preserve">hat, while the </w:t>
      </w:r>
      <w:r w:rsidR="00514C75">
        <w:rPr>
          <w:rFonts w:cs="Times New Roman"/>
          <w:szCs w:val="24"/>
        </w:rPr>
        <w:t>Claimant</w:t>
      </w:r>
      <w:r w:rsidR="00457831">
        <w:rPr>
          <w:rFonts w:cs="Times New Roman"/>
          <w:szCs w:val="24"/>
        </w:rPr>
        <w:t xml:space="preserve"> contended that amount </w:t>
      </w:r>
      <w:r w:rsidR="00CF2FB8">
        <w:rPr>
          <w:rFonts w:cs="Times New Roman"/>
          <w:szCs w:val="24"/>
        </w:rPr>
        <w:t>of</w:t>
      </w:r>
      <w:r w:rsidR="00457831">
        <w:rPr>
          <w:rFonts w:cs="Times New Roman"/>
          <w:szCs w:val="24"/>
        </w:rPr>
        <w:t xml:space="preserve"> the bill was £2,731.90 and the Defendant contended that </w:t>
      </w:r>
      <w:r w:rsidR="00E57DAB">
        <w:rPr>
          <w:rFonts w:cs="Times New Roman"/>
          <w:szCs w:val="24"/>
        </w:rPr>
        <w:t>it</w:t>
      </w:r>
      <w:r w:rsidR="00457831">
        <w:rPr>
          <w:rFonts w:cs="Times New Roman"/>
          <w:szCs w:val="24"/>
        </w:rPr>
        <w:t xml:space="preserve"> was £1,571.50, neither of those figures is stated in the bill.</w:t>
      </w:r>
    </w:p>
    <w:p w14:paraId="1AB07447" w14:textId="0638D6AE" w:rsidR="00457831" w:rsidRDefault="00457831" w:rsidP="00AC6944">
      <w:pPr>
        <w:pStyle w:val="ListParagraph"/>
        <w:numPr>
          <w:ilvl w:val="0"/>
          <w:numId w:val="15"/>
        </w:numPr>
        <w:spacing w:after="240" w:line="240" w:lineRule="auto"/>
        <w:contextualSpacing w:val="0"/>
        <w:jc w:val="both"/>
        <w:rPr>
          <w:rFonts w:cs="Times New Roman"/>
          <w:szCs w:val="24"/>
        </w:rPr>
      </w:pPr>
      <w:r>
        <w:rPr>
          <w:rFonts w:cs="Times New Roman"/>
          <w:szCs w:val="24"/>
        </w:rPr>
        <w:t xml:space="preserve">Nevertheless, if one asks the question, “How much was </w:t>
      </w:r>
      <w:r w:rsidR="00E57DAB">
        <w:rPr>
          <w:rFonts w:cs="Times New Roman"/>
          <w:szCs w:val="24"/>
        </w:rPr>
        <w:t>being</w:t>
      </w:r>
      <w:r>
        <w:rPr>
          <w:rFonts w:cs="Times New Roman"/>
          <w:szCs w:val="24"/>
        </w:rPr>
        <w:t xml:space="preserve"> demanded by this bill?” the answer is clear.  The Defendant was merely seeking by this bill to justify its retention </w:t>
      </w:r>
      <w:r w:rsidR="00CF2FB8">
        <w:rPr>
          <w:rFonts w:cs="Times New Roman"/>
          <w:szCs w:val="24"/>
        </w:rPr>
        <w:t>of</w:t>
      </w:r>
      <w:r>
        <w:rPr>
          <w:rFonts w:cs="Times New Roman"/>
          <w:szCs w:val="24"/>
        </w:rPr>
        <w:t xml:space="preserve"> </w:t>
      </w:r>
      <w:r w:rsidR="00023F21">
        <w:rPr>
          <w:rFonts w:cs="Times New Roman"/>
          <w:szCs w:val="24"/>
        </w:rPr>
        <w:t xml:space="preserve">the £1,116 received from Aviva and the </w:t>
      </w:r>
      <w:r>
        <w:rPr>
          <w:rFonts w:cs="Times New Roman"/>
          <w:szCs w:val="24"/>
        </w:rPr>
        <w:t>£</w:t>
      </w:r>
      <w:r w:rsidR="00D76F39">
        <w:rPr>
          <w:rFonts w:cs="Times New Roman"/>
          <w:szCs w:val="24"/>
        </w:rPr>
        <w:t xml:space="preserve">455.50 </w:t>
      </w:r>
      <w:r w:rsidR="00023F21">
        <w:rPr>
          <w:rFonts w:cs="Times New Roman"/>
          <w:szCs w:val="24"/>
        </w:rPr>
        <w:t xml:space="preserve">deducted </w:t>
      </w:r>
      <w:r w:rsidR="00E57DAB">
        <w:rPr>
          <w:rFonts w:cs="Times New Roman"/>
          <w:szCs w:val="24"/>
        </w:rPr>
        <w:t>from</w:t>
      </w:r>
      <w:r w:rsidR="00D76F39">
        <w:rPr>
          <w:rFonts w:cs="Times New Roman"/>
          <w:szCs w:val="24"/>
        </w:rPr>
        <w:t xml:space="preserve"> the </w:t>
      </w:r>
      <w:r w:rsidR="00514C75">
        <w:rPr>
          <w:rFonts w:cs="Times New Roman"/>
          <w:szCs w:val="24"/>
        </w:rPr>
        <w:t>Claimant’s</w:t>
      </w:r>
      <w:r w:rsidR="00D76F39">
        <w:rPr>
          <w:rFonts w:cs="Times New Roman"/>
          <w:szCs w:val="24"/>
        </w:rPr>
        <w:t xml:space="preserve"> damages.  The </w:t>
      </w:r>
      <w:r w:rsidR="000374D5">
        <w:rPr>
          <w:rFonts w:cs="Times New Roman"/>
          <w:szCs w:val="24"/>
        </w:rPr>
        <w:t>Defenda</w:t>
      </w:r>
      <w:r w:rsidR="00D76F39">
        <w:rPr>
          <w:rFonts w:cs="Times New Roman"/>
          <w:szCs w:val="24"/>
        </w:rPr>
        <w:t xml:space="preserve">nt was not by this bill demanding payment </w:t>
      </w:r>
      <w:r w:rsidR="00CF2FB8">
        <w:rPr>
          <w:rFonts w:cs="Times New Roman"/>
          <w:szCs w:val="24"/>
        </w:rPr>
        <w:t>of</w:t>
      </w:r>
      <w:r w:rsidR="00D76F39">
        <w:rPr>
          <w:rFonts w:cs="Times New Roman"/>
          <w:szCs w:val="24"/>
        </w:rPr>
        <w:t xml:space="preserve"> </w:t>
      </w:r>
      <w:r w:rsidR="000B3090">
        <w:rPr>
          <w:rFonts w:cs="Times New Roman"/>
          <w:szCs w:val="24"/>
        </w:rPr>
        <w:t xml:space="preserve">any more, and certainly not a further </w:t>
      </w:r>
      <w:r w:rsidR="00D76F39">
        <w:rPr>
          <w:rFonts w:cs="Times New Roman"/>
          <w:szCs w:val="24"/>
        </w:rPr>
        <w:t>£1,160.40</w:t>
      </w:r>
      <w:r w:rsidR="000B3090">
        <w:rPr>
          <w:rFonts w:cs="Times New Roman"/>
          <w:szCs w:val="24"/>
        </w:rPr>
        <w:t>,</w:t>
      </w:r>
      <w:r w:rsidR="00D76F39">
        <w:rPr>
          <w:rFonts w:cs="Times New Roman"/>
          <w:szCs w:val="24"/>
        </w:rPr>
        <w:t xml:space="preserve"> from the </w:t>
      </w:r>
      <w:r w:rsidR="00514C75">
        <w:rPr>
          <w:rFonts w:cs="Times New Roman"/>
          <w:szCs w:val="24"/>
        </w:rPr>
        <w:t>Claimant</w:t>
      </w:r>
      <w:r w:rsidR="00D76F39">
        <w:rPr>
          <w:rFonts w:cs="Times New Roman"/>
          <w:szCs w:val="24"/>
        </w:rPr>
        <w:t>.</w:t>
      </w:r>
      <w:r w:rsidR="000374D5">
        <w:rPr>
          <w:rFonts w:cs="Times New Roman"/>
          <w:szCs w:val="24"/>
        </w:rPr>
        <w:t xml:space="preserve">  </w:t>
      </w:r>
    </w:p>
    <w:p w14:paraId="792CFE13" w14:textId="5575A579" w:rsidR="000374D5" w:rsidRDefault="000374D5" w:rsidP="00AC6944">
      <w:pPr>
        <w:pStyle w:val="ListParagraph"/>
        <w:numPr>
          <w:ilvl w:val="0"/>
          <w:numId w:val="15"/>
        </w:numPr>
        <w:spacing w:after="240" w:line="240" w:lineRule="auto"/>
        <w:contextualSpacing w:val="0"/>
        <w:jc w:val="both"/>
        <w:rPr>
          <w:rFonts w:cs="Times New Roman"/>
          <w:szCs w:val="24"/>
        </w:rPr>
      </w:pPr>
      <w:r>
        <w:rPr>
          <w:rFonts w:cs="Times New Roman"/>
          <w:szCs w:val="24"/>
        </w:rPr>
        <w:t xml:space="preserve">Moreover, the Claimant was well aware </w:t>
      </w:r>
      <w:r w:rsidR="00CF2FB8">
        <w:rPr>
          <w:rFonts w:cs="Times New Roman"/>
          <w:szCs w:val="24"/>
        </w:rPr>
        <w:t>of</w:t>
      </w:r>
      <w:r>
        <w:rPr>
          <w:rFonts w:cs="Times New Roman"/>
          <w:szCs w:val="24"/>
        </w:rPr>
        <w:t xml:space="preserve"> this fact.  That is why she said in her points </w:t>
      </w:r>
      <w:r w:rsidR="00CF2FB8">
        <w:rPr>
          <w:rFonts w:cs="Times New Roman"/>
          <w:szCs w:val="24"/>
        </w:rPr>
        <w:t>of</w:t>
      </w:r>
      <w:r>
        <w:rPr>
          <w:rFonts w:cs="Times New Roman"/>
          <w:szCs w:val="24"/>
        </w:rPr>
        <w:t xml:space="preserve"> dispute:</w:t>
      </w:r>
    </w:p>
    <w:p w14:paraId="5A045226" w14:textId="5231170F" w:rsidR="000374D5" w:rsidRDefault="000374D5" w:rsidP="00AC6944">
      <w:pPr>
        <w:pStyle w:val="ListParagraph"/>
        <w:spacing w:after="240" w:line="240" w:lineRule="auto"/>
        <w:ind w:left="1440"/>
        <w:contextualSpacing w:val="0"/>
        <w:jc w:val="both"/>
        <w:rPr>
          <w:rFonts w:cs="Times New Roman"/>
          <w:szCs w:val="24"/>
        </w:rPr>
      </w:pPr>
      <w:r>
        <w:rPr>
          <w:rFonts w:cs="Times New Roman"/>
          <w:szCs w:val="24"/>
        </w:rPr>
        <w:t>“</w:t>
      </w:r>
      <w:r w:rsidRPr="000374D5">
        <w:rPr>
          <w:rFonts w:cs="Times New Roman"/>
          <w:szCs w:val="24"/>
        </w:rPr>
        <w:t>The reality therefore is that the Defendant has charged legal fees of £1,571.50 (£1,116 of which was paid by the third party, and £455.50 by the Claimant).</w:t>
      </w:r>
      <w:r>
        <w:rPr>
          <w:rFonts w:cs="Times New Roman"/>
          <w:szCs w:val="24"/>
        </w:rPr>
        <w:t>”</w:t>
      </w:r>
    </w:p>
    <w:p w14:paraId="113160FB" w14:textId="6CB5999D" w:rsidR="00D76F39" w:rsidRDefault="00D76F39" w:rsidP="00AC6944">
      <w:pPr>
        <w:pStyle w:val="ListParagraph"/>
        <w:numPr>
          <w:ilvl w:val="0"/>
          <w:numId w:val="15"/>
        </w:numPr>
        <w:spacing w:after="240" w:line="240" w:lineRule="auto"/>
        <w:contextualSpacing w:val="0"/>
        <w:jc w:val="both"/>
        <w:rPr>
          <w:rFonts w:cs="Times New Roman"/>
          <w:szCs w:val="24"/>
        </w:rPr>
      </w:pPr>
      <w:r>
        <w:rPr>
          <w:rFonts w:cs="Times New Roman"/>
          <w:szCs w:val="24"/>
        </w:rPr>
        <w:t xml:space="preserve">On that basis, </w:t>
      </w:r>
      <w:r w:rsidR="000374D5">
        <w:rPr>
          <w:rFonts w:cs="Times New Roman"/>
          <w:szCs w:val="24"/>
        </w:rPr>
        <w:t xml:space="preserve">I conclude </w:t>
      </w:r>
      <w:r>
        <w:rPr>
          <w:rFonts w:cs="Times New Roman"/>
          <w:szCs w:val="24"/>
        </w:rPr>
        <w:t xml:space="preserve">that the amount </w:t>
      </w:r>
      <w:r w:rsidR="00CF2FB8">
        <w:rPr>
          <w:rFonts w:cs="Times New Roman"/>
          <w:szCs w:val="24"/>
        </w:rPr>
        <w:t>of</w:t>
      </w:r>
      <w:r>
        <w:rPr>
          <w:rFonts w:cs="Times New Roman"/>
          <w:szCs w:val="24"/>
        </w:rPr>
        <w:t xml:space="preserve"> the bill was £1,571.</w:t>
      </w:r>
      <w:r w:rsidR="00023F21">
        <w:rPr>
          <w:rFonts w:cs="Times New Roman"/>
          <w:szCs w:val="24"/>
        </w:rPr>
        <w:t>5</w:t>
      </w:r>
      <w:r>
        <w:rPr>
          <w:rFonts w:cs="Times New Roman"/>
          <w:szCs w:val="24"/>
        </w:rPr>
        <w:t xml:space="preserve">0 and </w:t>
      </w:r>
      <w:r w:rsidR="00023F21">
        <w:rPr>
          <w:rFonts w:cs="Times New Roman"/>
          <w:szCs w:val="24"/>
        </w:rPr>
        <w:t xml:space="preserve">that </w:t>
      </w:r>
      <w:r>
        <w:rPr>
          <w:rFonts w:cs="Times New Roman"/>
          <w:szCs w:val="24"/>
        </w:rPr>
        <w:t xml:space="preserve">the </w:t>
      </w:r>
      <w:r w:rsidR="00023F21">
        <w:rPr>
          <w:rFonts w:cs="Times New Roman"/>
          <w:szCs w:val="24"/>
        </w:rPr>
        <w:t>d</w:t>
      </w:r>
      <w:r w:rsidR="00E57DAB">
        <w:rPr>
          <w:rFonts w:cs="Times New Roman"/>
          <w:szCs w:val="24"/>
        </w:rPr>
        <w:t>istrict</w:t>
      </w:r>
      <w:r>
        <w:rPr>
          <w:rFonts w:cs="Times New Roman"/>
          <w:szCs w:val="24"/>
        </w:rPr>
        <w:t xml:space="preserve"> </w:t>
      </w:r>
      <w:r w:rsidR="00023F21">
        <w:rPr>
          <w:rFonts w:cs="Times New Roman"/>
          <w:szCs w:val="24"/>
        </w:rPr>
        <w:t>j</w:t>
      </w:r>
      <w:r w:rsidR="00E57DAB">
        <w:rPr>
          <w:rFonts w:cs="Times New Roman"/>
          <w:szCs w:val="24"/>
        </w:rPr>
        <w:t>udge</w:t>
      </w:r>
      <w:r>
        <w:rPr>
          <w:rFonts w:cs="Times New Roman"/>
          <w:szCs w:val="24"/>
        </w:rPr>
        <w:t xml:space="preserve"> was </w:t>
      </w:r>
      <w:r w:rsidR="00E57DAB">
        <w:rPr>
          <w:rFonts w:cs="Times New Roman"/>
          <w:szCs w:val="24"/>
        </w:rPr>
        <w:t>wrong</w:t>
      </w:r>
      <w:r>
        <w:rPr>
          <w:rFonts w:cs="Times New Roman"/>
          <w:szCs w:val="24"/>
        </w:rPr>
        <w:t xml:space="preserve"> to decide otherwise.</w:t>
      </w:r>
    </w:p>
    <w:p w14:paraId="3401781B" w14:textId="08AE0D68" w:rsidR="00D76F39" w:rsidRPr="000374D5" w:rsidRDefault="00D76F39" w:rsidP="00AC6944">
      <w:pPr>
        <w:pStyle w:val="ListParagraph"/>
        <w:spacing w:after="240" w:line="240" w:lineRule="auto"/>
        <w:contextualSpacing w:val="0"/>
        <w:jc w:val="both"/>
        <w:rPr>
          <w:rFonts w:cs="Times New Roman"/>
          <w:b/>
          <w:bCs/>
          <w:szCs w:val="24"/>
        </w:rPr>
      </w:pPr>
      <w:r w:rsidRPr="000374D5">
        <w:rPr>
          <w:rFonts w:cs="Times New Roman"/>
          <w:b/>
          <w:bCs/>
          <w:szCs w:val="24"/>
        </w:rPr>
        <w:t>(</w:t>
      </w:r>
      <w:r w:rsidR="000374D5" w:rsidRPr="000374D5">
        <w:rPr>
          <w:rFonts w:cs="Times New Roman"/>
          <w:b/>
          <w:bCs/>
          <w:szCs w:val="24"/>
        </w:rPr>
        <w:t>7) Conclusion</w:t>
      </w:r>
    </w:p>
    <w:p w14:paraId="71B0AF30" w14:textId="0DD305B0" w:rsidR="00D76F39" w:rsidRDefault="000374D5" w:rsidP="00AC6944">
      <w:pPr>
        <w:pStyle w:val="ListParagraph"/>
        <w:numPr>
          <w:ilvl w:val="0"/>
          <w:numId w:val="15"/>
        </w:numPr>
        <w:spacing w:after="240" w:line="240" w:lineRule="auto"/>
        <w:contextualSpacing w:val="0"/>
        <w:jc w:val="both"/>
        <w:rPr>
          <w:rFonts w:cs="Times New Roman"/>
          <w:szCs w:val="24"/>
        </w:rPr>
      </w:pPr>
      <w:r>
        <w:rPr>
          <w:rFonts w:cs="Times New Roman"/>
          <w:szCs w:val="24"/>
        </w:rPr>
        <w:t>For the reasons set out in this judgment, I allow this appeal on grounds 1 and 3.  I invite the part</w:t>
      </w:r>
      <w:r w:rsidR="007D682A">
        <w:rPr>
          <w:rFonts w:cs="Times New Roman"/>
          <w:szCs w:val="24"/>
        </w:rPr>
        <w:t>i</w:t>
      </w:r>
      <w:r>
        <w:rPr>
          <w:rFonts w:cs="Times New Roman"/>
          <w:szCs w:val="24"/>
        </w:rPr>
        <w:t xml:space="preserve">es to agree </w:t>
      </w:r>
      <w:r w:rsidR="007D682A">
        <w:rPr>
          <w:rFonts w:cs="Times New Roman"/>
          <w:szCs w:val="24"/>
        </w:rPr>
        <w:t>the terms of an order to give effect to my decision.</w:t>
      </w:r>
    </w:p>
    <w:p w14:paraId="738DE8E8" w14:textId="4D907E3E" w:rsidR="00023F21" w:rsidRDefault="00023F21" w:rsidP="00AC6944">
      <w:pPr>
        <w:pStyle w:val="ListParagraph"/>
        <w:numPr>
          <w:ilvl w:val="0"/>
          <w:numId w:val="15"/>
        </w:numPr>
        <w:spacing w:after="240" w:line="240" w:lineRule="auto"/>
        <w:contextualSpacing w:val="0"/>
        <w:jc w:val="both"/>
        <w:rPr>
          <w:rFonts w:cs="Times New Roman"/>
          <w:szCs w:val="24"/>
        </w:rPr>
      </w:pPr>
      <w:r>
        <w:rPr>
          <w:rFonts w:cs="Times New Roman"/>
          <w:szCs w:val="24"/>
        </w:rPr>
        <w:t xml:space="preserve">I offer my apologies for the time taken to complete this judgment, which is attributable to the exceptional demands on my time as a Presiding Judge during the period of </w:t>
      </w:r>
      <w:r w:rsidR="00657000">
        <w:rPr>
          <w:rFonts w:cs="Times New Roman"/>
          <w:szCs w:val="24"/>
        </w:rPr>
        <w:t>the pandemic since the hearing of the appeal.</w:t>
      </w:r>
      <w:r>
        <w:rPr>
          <w:rFonts w:cs="Times New Roman"/>
          <w:szCs w:val="24"/>
        </w:rPr>
        <w:t xml:space="preserve"> </w:t>
      </w:r>
    </w:p>
    <w:p w14:paraId="70C66EE8" w14:textId="48B7F96A" w:rsidR="007D682A" w:rsidRPr="001E7226" w:rsidRDefault="007D682A" w:rsidP="00AC6944">
      <w:pPr>
        <w:pStyle w:val="ListParagraph"/>
        <w:numPr>
          <w:ilvl w:val="0"/>
          <w:numId w:val="15"/>
        </w:numPr>
        <w:spacing w:after="240" w:line="240" w:lineRule="auto"/>
        <w:contextualSpacing w:val="0"/>
        <w:jc w:val="both"/>
        <w:rPr>
          <w:rFonts w:cs="Times New Roman"/>
          <w:szCs w:val="24"/>
        </w:rPr>
      </w:pPr>
      <w:r>
        <w:rPr>
          <w:rFonts w:cs="Times New Roman"/>
          <w:szCs w:val="24"/>
        </w:rPr>
        <w:t xml:space="preserve">Finally, I express my gratitude to </w:t>
      </w:r>
      <w:r w:rsidR="00023F21">
        <w:rPr>
          <w:rFonts w:cs="Times New Roman"/>
          <w:szCs w:val="24"/>
        </w:rPr>
        <w:t xml:space="preserve">the </w:t>
      </w:r>
      <w:r>
        <w:rPr>
          <w:rFonts w:cs="Times New Roman"/>
          <w:szCs w:val="24"/>
        </w:rPr>
        <w:t>solicitors and counsel on both sides for the care taken over the preparation and presentation of this appeal, which h</w:t>
      </w:r>
      <w:r w:rsidR="00023F21">
        <w:rPr>
          <w:rFonts w:cs="Times New Roman"/>
          <w:szCs w:val="24"/>
        </w:rPr>
        <w:t>a</w:t>
      </w:r>
      <w:r>
        <w:rPr>
          <w:rFonts w:cs="Times New Roman"/>
          <w:szCs w:val="24"/>
        </w:rPr>
        <w:t>s bee</w:t>
      </w:r>
      <w:r w:rsidR="00023F21">
        <w:rPr>
          <w:rFonts w:cs="Times New Roman"/>
          <w:szCs w:val="24"/>
        </w:rPr>
        <w:t>n</w:t>
      </w:r>
      <w:r>
        <w:rPr>
          <w:rFonts w:cs="Times New Roman"/>
          <w:szCs w:val="24"/>
        </w:rPr>
        <w:t xml:space="preserve"> of </w:t>
      </w:r>
      <w:r w:rsidR="00E57DAB">
        <w:rPr>
          <w:rFonts w:cs="Times New Roman"/>
          <w:szCs w:val="24"/>
        </w:rPr>
        <w:t>considerable</w:t>
      </w:r>
      <w:r>
        <w:rPr>
          <w:rFonts w:cs="Times New Roman"/>
          <w:szCs w:val="24"/>
        </w:rPr>
        <w:t xml:space="preserve"> </w:t>
      </w:r>
      <w:r w:rsidR="00E57DAB">
        <w:rPr>
          <w:rFonts w:cs="Times New Roman"/>
          <w:szCs w:val="24"/>
        </w:rPr>
        <w:t>assistance</w:t>
      </w:r>
      <w:r>
        <w:rPr>
          <w:rFonts w:cs="Times New Roman"/>
          <w:szCs w:val="24"/>
        </w:rPr>
        <w:t xml:space="preserve"> to me.  </w:t>
      </w:r>
    </w:p>
    <w:p w14:paraId="2E1CF91F" w14:textId="6CFEE9ED" w:rsidR="001F3B80" w:rsidRPr="00B675C2" w:rsidRDefault="00493A40" w:rsidP="00AC6944">
      <w:pPr>
        <w:spacing w:after="240" w:line="240" w:lineRule="auto"/>
        <w:jc w:val="both"/>
        <w:rPr>
          <w:szCs w:val="24"/>
        </w:rPr>
      </w:pPr>
      <w:r w:rsidRPr="00B675C2">
        <w:rPr>
          <w:szCs w:val="24"/>
        </w:rPr>
        <w:t xml:space="preserve">                                                                                                                                                                                                                                                                                                                                                                                                                  </w:t>
      </w:r>
    </w:p>
    <w:p w14:paraId="74DFC26F" w14:textId="77777777" w:rsidR="007E647C" w:rsidRDefault="007E647C" w:rsidP="00AC6944">
      <w:pPr>
        <w:pStyle w:val="ListParagraph"/>
        <w:spacing w:after="240" w:line="240" w:lineRule="auto"/>
        <w:jc w:val="both"/>
        <w:rPr>
          <w:szCs w:val="24"/>
        </w:rPr>
      </w:pPr>
    </w:p>
    <w:sectPr w:rsidR="007E647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26E0" w14:textId="77777777" w:rsidR="00B47E14" w:rsidRDefault="00B47E14" w:rsidP="00D76141">
      <w:pPr>
        <w:spacing w:after="0" w:line="240" w:lineRule="auto"/>
      </w:pPr>
      <w:r>
        <w:separator/>
      </w:r>
    </w:p>
  </w:endnote>
  <w:endnote w:type="continuationSeparator" w:id="0">
    <w:p w14:paraId="2D90497F" w14:textId="77777777" w:rsidR="00B47E14" w:rsidRDefault="00B47E14" w:rsidP="00D7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B5CD" w14:textId="77777777" w:rsidR="00E71B24" w:rsidRDefault="00E71B24">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3B96" w14:textId="77777777" w:rsidR="00E71B24" w:rsidRDefault="00E71B24">
    <w:pPr>
      <w:pStyle w:val="Footer"/>
      <w:jc w:val="center"/>
      <w:rPr>
        <w:sz w:val="16"/>
      </w:rPr>
    </w:pPr>
  </w:p>
  <w:p w14:paraId="7A90DA8E" w14:textId="63D3439E" w:rsidR="00E71B24" w:rsidRDefault="00E71B24">
    <w:pPr>
      <w:pStyle w:val="Footer"/>
      <w:rPr>
        <w:sz w:val="16"/>
      </w:rPr>
    </w:pPr>
    <w:r>
      <w:rPr>
        <w:sz w:val="16"/>
      </w:rPr>
      <w:tab/>
      <w:t xml:space="preserve">Page </w:t>
    </w:r>
    <w:r>
      <w:rPr>
        <w:sz w:val="16"/>
      </w:rPr>
      <w:fldChar w:fldCharType="begin"/>
    </w:r>
    <w:r>
      <w:rPr>
        <w:sz w:val="16"/>
      </w:rPr>
      <w:instrText xml:space="preserve"> PAGE </w:instrText>
    </w:r>
    <w:r>
      <w:rPr>
        <w:sz w:val="16"/>
      </w:rPr>
      <w:fldChar w:fldCharType="separate"/>
    </w:r>
    <w:r w:rsidR="004471DD">
      <w:rPr>
        <w:noProof/>
        <w:sz w:val="16"/>
      </w:rPr>
      <w:t>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2D28" w14:textId="77777777" w:rsidR="00B47E14" w:rsidRDefault="00B47E14" w:rsidP="00D76141">
      <w:pPr>
        <w:spacing w:after="0" w:line="240" w:lineRule="auto"/>
      </w:pPr>
      <w:r>
        <w:separator/>
      </w:r>
    </w:p>
  </w:footnote>
  <w:footnote w:type="continuationSeparator" w:id="0">
    <w:p w14:paraId="4EA1861F" w14:textId="77777777" w:rsidR="00B47E14" w:rsidRDefault="00B47E14" w:rsidP="00D76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E71B24" w14:paraId="1AE1E538" w14:textId="77777777">
      <w:tc>
        <w:tcPr>
          <w:tcW w:w="4680" w:type="dxa"/>
        </w:tcPr>
        <w:p w14:paraId="0DC71F3C" w14:textId="6312940B" w:rsidR="00E71B24" w:rsidRDefault="00E71B24">
          <w:pPr>
            <w:pStyle w:val="Header"/>
            <w:rPr>
              <w:b/>
              <w:sz w:val="16"/>
              <w:u w:val="single"/>
            </w:rPr>
          </w:pPr>
        </w:p>
        <w:p w14:paraId="2B05FFAA" w14:textId="0533428B" w:rsidR="00E71B24" w:rsidRDefault="00E71B24">
          <w:pPr>
            <w:pStyle w:val="Header"/>
          </w:pPr>
        </w:p>
      </w:tc>
      <w:tc>
        <w:tcPr>
          <w:tcW w:w="4320" w:type="dxa"/>
        </w:tcPr>
        <w:p w14:paraId="202DDF72" w14:textId="10D6B54F" w:rsidR="00E71B24" w:rsidRDefault="00D76F39" w:rsidP="004471DD">
          <w:pPr>
            <w:pStyle w:val="Header"/>
            <w:jc w:val="right"/>
            <w:rPr>
              <w:sz w:val="16"/>
            </w:rPr>
          </w:pPr>
          <w:r>
            <w:rPr>
              <w:sz w:val="16"/>
            </w:rPr>
            <w:t xml:space="preserve">SGI Legal LLP </w:t>
          </w:r>
          <w:r w:rsidR="00E71B24">
            <w:rPr>
              <w:sz w:val="16"/>
            </w:rPr>
            <w:t xml:space="preserve">v </w:t>
          </w:r>
          <w:r>
            <w:rPr>
              <w:sz w:val="16"/>
            </w:rPr>
            <w:t>Karatysz</w:t>
          </w:r>
        </w:p>
      </w:tc>
    </w:tr>
  </w:tbl>
  <w:p w14:paraId="67234FC9" w14:textId="77777777" w:rsidR="00E71B24" w:rsidRDefault="00E71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6C7"/>
    <w:multiLevelType w:val="hybridMultilevel"/>
    <w:tmpl w:val="49BACA4E"/>
    <w:lvl w:ilvl="0" w:tplc="BA1C79CA">
      <w:start w:val="25"/>
      <w:numFmt w:val="decimal"/>
      <w:lvlText w:val="%1."/>
      <w:lvlJc w:val="left"/>
      <w:pPr>
        <w:ind w:left="720" w:hanging="360"/>
      </w:pPr>
    </w:lvl>
    <w:lvl w:ilvl="1" w:tplc="C7BC3028">
      <w:start w:val="1"/>
      <w:numFmt w:val="lowerLetter"/>
      <w:lvlText w:val="%2."/>
      <w:lvlJc w:val="left"/>
      <w:pPr>
        <w:ind w:left="1440" w:hanging="360"/>
      </w:pPr>
    </w:lvl>
    <w:lvl w:ilvl="2" w:tplc="FB5ED59E">
      <w:start w:val="1"/>
      <w:numFmt w:val="lowerRoman"/>
      <w:lvlText w:val="%3."/>
      <w:lvlJc w:val="right"/>
      <w:pPr>
        <w:ind w:left="2160" w:hanging="180"/>
      </w:pPr>
    </w:lvl>
    <w:lvl w:ilvl="3" w:tplc="C74AFE40">
      <w:start w:val="1"/>
      <w:numFmt w:val="decimal"/>
      <w:lvlText w:val="%4."/>
      <w:lvlJc w:val="left"/>
      <w:pPr>
        <w:ind w:left="2880" w:hanging="360"/>
      </w:pPr>
    </w:lvl>
    <w:lvl w:ilvl="4" w:tplc="6D7EDB8E">
      <w:start w:val="1"/>
      <w:numFmt w:val="lowerLetter"/>
      <w:lvlText w:val="%5."/>
      <w:lvlJc w:val="left"/>
      <w:pPr>
        <w:ind w:left="3600" w:hanging="360"/>
      </w:pPr>
    </w:lvl>
    <w:lvl w:ilvl="5" w:tplc="58ECC816">
      <w:start w:val="1"/>
      <w:numFmt w:val="lowerRoman"/>
      <w:lvlText w:val="%6."/>
      <w:lvlJc w:val="right"/>
      <w:pPr>
        <w:ind w:left="4320" w:hanging="180"/>
      </w:pPr>
    </w:lvl>
    <w:lvl w:ilvl="6" w:tplc="A66C21D0">
      <w:start w:val="1"/>
      <w:numFmt w:val="decimal"/>
      <w:lvlText w:val="%7."/>
      <w:lvlJc w:val="left"/>
      <w:pPr>
        <w:ind w:left="5040" w:hanging="360"/>
      </w:pPr>
    </w:lvl>
    <w:lvl w:ilvl="7" w:tplc="9934F596">
      <w:start w:val="1"/>
      <w:numFmt w:val="lowerLetter"/>
      <w:lvlText w:val="%8."/>
      <w:lvlJc w:val="left"/>
      <w:pPr>
        <w:ind w:left="5760" w:hanging="360"/>
      </w:pPr>
    </w:lvl>
    <w:lvl w:ilvl="8" w:tplc="212C0A50">
      <w:start w:val="1"/>
      <w:numFmt w:val="lowerRoman"/>
      <w:lvlText w:val="%9."/>
      <w:lvlJc w:val="right"/>
      <w:pPr>
        <w:ind w:left="6480" w:hanging="180"/>
      </w:pPr>
    </w:lvl>
  </w:abstractNum>
  <w:abstractNum w:abstractNumId="1" w15:restartNumberingAfterBreak="0">
    <w:nsid w:val="030C0A25"/>
    <w:multiLevelType w:val="hybridMultilevel"/>
    <w:tmpl w:val="3E1ACE62"/>
    <w:lvl w:ilvl="0" w:tplc="89A4F038">
      <w:start w:val="1"/>
      <w:numFmt w:val="lowerLetter"/>
      <w:lvlText w:val="%1)"/>
      <w:lvlJc w:val="left"/>
      <w:pPr>
        <w:ind w:left="2518" w:hanging="360"/>
      </w:pPr>
      <w:rPr>
        <w:rFonts w:hint="default"/>
      </w:rPr>
    </w:lvl>
    <w:lvl w:ilvl="1" w:tplc="08090019" w:tentative="1">
      <w:start w:val="1"/>
      <w:numFmt w:val="lowerLetter"/>
      <w:lvlText w:val="%2."/>
      <w:lvlJc w:val="left"/>
      <w:pPr>
        <w:ind w:left="3238" w:hanging="360"/>
      </w:pPr>
    </w:lvl>
    <w:lvl w:ilvl="2" w:tplc="0809001B" w:tentative="1">
      <w:start w:val="1"/>
      <w:numFmt w:val="lowerRoman"/>
      <w:lvlText w:val="%3."/>
      <w:lvlJc w:val="right"/>
      <w:pPr>
        <w:ind w:left="3958" w:hanging="180"/>
      </w:pPr>
    </w:lvl>
    <w:lvl w:ilvl="3" w:tplc="0809000F" w:tentative="1">
      <w:start w:val="1"/>
      <w:numFmt w:val="decimal"/>
      <w:lvlText w:val="%4."/>
      <w:lvlJc w:val="left"/>
      <w:pPr>
        <w:ind w:left="4678" w:hanging="360"/>
      </w:pPr>
    </w:lvl>
    <w:lvl w:ilvl="4" w:tplc="08090019" w:tentative="1">
      <w:start w:val="1"/>
      <w:numFmt w:val="lowerLetter"/>
      <w:lvlText w:val="%5."/>
      <w:lvlJc w:val="left"/>
      <w:pPr>
        <w:ind w:left="5398" w:hanging="360"/>
      </w:pPr>
    </w:lvl>
    <w:lvl w:ilvl="5" w:tplc="0809001B" w:tentative="1">
      <w:start w:val="1"/>
      <w:numFmt w:val="lowerRoman"/>
      <w:lvlText w:val="%6."/>
      <w:lvlJc w:val="right"/>
      <w:pPr>
        <w:ind w:left="6118" w:hanging="180"/>
      </w:pPr>
    </w:lvl>
    <w:lvl w:ilvl="6" w:tplc="0809000F" w:tentative="1">
      <w:start w:val="1"/>
      <w:numFmt w:val="decimal"/>
      <w:lvlText w:val="%7."/>
      <w:lvlJc w:val="left"/>
      <w:pPr>
        <w:ind w:left="6838" w:hanging="360"/>
      </w:pPr>
    </w:lvl>
    <w:lvl w:ilvl="7" w:tplc="08090019" w:tentative="1">
      <w:start w:val="1"/>
      <w:numFmt w:val="lowerLetter"/>
      <w:lvlText w:val="%8."/>
      <w:lvlJc w:val="left"/>
      <w:pPr>
        <w:ind w:left="7558" w:hanging="360"/>
      </w:pPr>
    </w:lvl>
    <w:lvl w:ilvl="8" w:tplc="0809001B" w:tentative="1">
      <w:start w:val="1"/>
      <w:numFmt w:val="lowerRoman"/>
      <w:lvlText w:val="%9."/>
      <w:lvlJc w:val="right"/>
      <w:pPr>
        <w:ind w:left="8278" w:hanging="180"/>
      </w:pPr>
    </w:lvl>
  </w:abstractNum>
  <w:abstractNum w:abstractNumId="2" w15:restartNumberingAfterBreak="0">
    <w:nsid w:val="0C7050C9"/>
    <w:multiLevelType w:val="hybridMultilevel"/>
    <w:tmpl w:val="F8B6E920"/>
    <w:lvl w:ilvl="0" w:tplc="20B642BA">
      <w:start w:val="1"/>
      <w:numFmt w:val="decimal"/>
      <w:lvlText w:val="%1."/>
      <w:lvlJc w:val="left"/>
      <w:pPr>
        <w:ind w:left="720" w:hanging="360"/>
      </w:pPr>
    </w:lvl>
    <w:lvl w:ilvl="1" w:tplc="272631E2">
      <w:start w:val="1"/>
      <w:numFmt w:val="lowerLetter"/>
      <w:lvlText w:val="%2."/>
      <w:lvlJc w:val="left"/>
      <w:pPr>
        <w:ind w:left="1440" w:hanging="360"/>
      </w:pPr>
    </w:lvl>
    <w:lvl w:ilvl="2" w:tplc="14FEA73E">
      <w:start w:val="1"/>
      <w:numFmt w:val="lowerRoman"/>
      <w:lvlText w:val="%3."/>
      <w:lvlJc w:val="right"/>
      <w:pPr>
        <w:ind w:left="2160" w:hanging="180"/>
      </w:pPr>
    </w:lvl>
    <w:lvl w:ilvl="3" w:tplc="9C0CEA62">
      <w:start w:val="1"/>
      <w:numFmt w:val="decimal"/>
      <w:lvlText w:val="%4."/>
      <w:lvlJc w:val="left"/>
      <w:pPr>
        <w:ind w:left="2880" w:hanging="360"/>
      </w:pPr>
    </w:lvl>
    <w:lvl w:ilvl="4" w:tplc="3994368C">
      <w:start w:val="1"/>
      <w:numFmt w:val="lowerLetter"/>
      <w:lvlText w:val="%5."/>
      <w:lvlJc w:val="left"/>
      <w:pPr>
        <w:ind w:left="3600" w:hanging="360"/>
      </w:pPr>
    </w:lvl>
    <w:lvl w:ilvl="5" w:tplc="2666A0BE">
      <w:start w:val="1"/>
      <w:numFmt w:val="lowerRoman"/>
      <w:lvlText w:val="%6."/>
      <w:lvlJc w:val="right"/>
      <w:pPr>
        <w:ind w:left="4320" w:hanging="180"/>
      </w:pPr>
    </w:lvl>
    <w:lvl w:ilvl="6" w:tplc="4392AD00">
      <w:start w:val="1"/>
      <w:numFmt w:val="decimal"/>
      <w:lvlText w:val="%7."/>
      <w:lvlJc w:val="left"/>
      <w:pPr>
        <w:ind w:left="5040" w:hanging="360"/>
      </w:pPr>
    </w:lvl>
    <w:lvl w:ilvl="7" w:tplc="64860508">
      <w:start w:val="1"/>
      <w:numFmt w:val="lowerLetter"/>
      <w:lvlText w:val="%8."/>
      <w:lvlJc w:val="left"/>
      <w:pPr>
        <w:ind w:left="5760" w:hanging="360"/>
      </w:pPr>
    </w:lvl>
    <w:lvl w:ilvl="8" w:tplc="7F6CD31A">
      <w:start w:val="1"/>
      <w:numFmt w:val="lowerRoman"/>
      <w:lvlText w:val="%9."/>
      <w:lvlJc w:val="right"/>
      <w:pPr>
        <w:ind w:left="6480" w:hanging="180"/>
      </w:pPr>
    </w:lvl>
  </w:abstractNum>
  <w:abstractNum w:abstractNumId="3" w15:restartNumberingAfterBreak="0">
    <w:nsid w:val="2ED97BAF"/>
    <w:multiLevelType w:val="hybridMultilevel"/>
    <w:tmpl w:val="B7467460"/>
    <w:lvl w:ilvl="0" w:tplc="2F9A6D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AA2C9F"/>
    <w:multiLevelType w:val="hybridMultilevel"/>
    <w:tmpl w:val="A7C47458"/>
    <w:lvl w:ilvl="0" w:tplc="AC0E19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0B0D61"/>
    <w:multiLevelType w:val="hybridMultilevel"/>
    <w:tmpl w:val="F5D80F60"/>
    <w:lvl w:ilvl="0" w:tplc="86725FAE">
      <w:start w:val="1"/>
      <w:numFmt w:val="decimal"/>
      <w:lvlText w:val="%1."/>
      <w:lvlJc w:val="left"/>
      <w:pPr>
        <w:ind w:left="2518" w:hanging="360"/>
      </w:pPr>
      <w:rPr>
        <w:rFonts w:hint="default"/>
      </w:rPr>
    </w:lvl>
    <w:lvl w:ilvl="1" w:tplc="08090019" w:tentative="1">
      <w:start w:val="1"/>
      <w:numFmt w:val="lowerLetter"/>
      <w:lvlText w:val="%2."/>
      <w:lvlJc w:val="left"/>
      <w:pPr>
        <w:ind w:left="3238" w:hanging="360"/>
      </w:pPr>
    </w:lvl>
    <w:lvl w:ilvl="2" w:tplc="0809001B" w:tentative="1">
      <w:start w:val="1"/>
      <w:numFmt w:val="lowerRoman"/>
      <w:lvlText w:val="%3."/>
      <w:lvlJc w:val="right"/>
      <w:pPr>
        <w:ind w:left="3958" w:hanging="180"/>
      </w:pPr>
    </w:lvl>
    <w:lvl w:ilvl="3" w:tplc="0809000F" w:tentative="1">
      <w:start w:val="1"/>
      <w:numFmt w:val="decimal"/>
      <w:lvlText w:val="%4."/>
      <w:lvlJc w:val="left"/>
      <w:pPr>
        <w:ind w:left="4678" w:hanging="360"/>
      </w:pPr>
    </w:lvl>
    <w:lvl w:ilvl="4" w:tplc="08090019" w:tentative="1">
      <w:start w:val="1"/>
      <w:numFmt w:val="lowerLetter"/>
      <w:lvlText w:val="%5."/>
      <w:lvlJc w:val="left"/>
      <w:pPr>
        <w:ind w:left="5398" w:hanging="360"/>
      </w:pPr>
    </w:lvl>
    <w:lvl w:ilvl="5" w:tplc="0809001B" w:tentative="1">
      <w:start w:val="1"/>
      <w:numFmt w:val="lowerRoman"/>
      <w:lvlText w:val="%6."/>
      <w:lvlJc w:val="right"/>
      <w:pPr>
        <w:ind w:left="6118" w:hanging="180"/>
      </w:pPr>
    </w:lvl>
    <w:lvl w:ilvl="6" w:tplc="0809000F" w:tentative="1">
      <w:start w:val="1"/>
      <w:numFmt w:val="decimal"/>
      <w:lvlText w:val="%7."/>
      <w:lvlJc w:val="left"/>
      <w:pPr>
        <w:ind w:left="6838" w:hanging="360"/>
      </w:pPr>
    </w:lvl>
    <w:lvl w:ilvl="7" w:tplc="08090019" w:tentative="1">
      <w:start w:val="1"/>
      <w:numFmt w:val="lowerLetter"/>
      <w:lvlText w:val="%8."/>
      <w:lvlJc w:val="left"/>
      <w:pPr>
        <w:ind w:left="7558" w:hanging="360"/>
      </w:pPr>
    </w:lvl>
    <w:lvl w:ilvl="8" w:tplc="0809001B" w:tentative="1">
      <w:start w:val="1"/>
      <w:numFmt w:val="lowerRoman"/>
      <w:lvlText w:val="%9."/>
      <w:lvlJc w:val="right"/>
      <w:pPr>
        <w:ind w:left="8278" w:hanging="180"/>
      </w:pPr>
    </w:lvl>
  </w:abstractNum>
  <w:abstractNum w:abstractNumId="6" w15:restartNumberingAfterBreak="0">
    <w:nsid w:val="4F677396"/>
    <w:multiLevelType w:val="multilevel"/>
    <w:tmpl w:val="B8401B7C"/>
    <w:lvl w:ilvl="0">
      <w:start w:val="1"/>
      <w:numFmt w:val="decimal"/>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Roman"/>
      <w:lvlText w:val="(%3)"/>
      <w:lvlJc w:val="left"/>
      <w:pPr>
        <w:tabs>
          <w:tab w:val="num" w:pos="13041"/>
        </w:tabs>
        <w:ind w:left="2160" w:hanging="720"/>
      </w:pPr>
      <w:rPr>
        <w:rFonts w:hint="default"/>
      </w:rPr>
    </w:lvl>
    <w:lvl w:ilvl="3">
      <w:start w:val="1"/>
      <w:numFmt w:val="decimal"/>
      <w:lvlText w:val="(%4)"/>
      <w:lvlJc w:val="left"/>
      <w:pPr>
        <w:tabs>
          <w:tab w:val="num" w:pos="216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A2F1581"/>
    <w:multiLevelType w:val="hybridMultilevel"/>
    <w:tmpl w:val="68D04D4C"/>
    <w:lvl w:ilvl="0" w:tplc="3BB01D9C">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8" w15:restartNumberingAfterBreak="0">
    <w:nsid w:val="5ACC15FE"/>
    <w:multiLevelType w:val="hybridMultilevel"/>
    <w:tmpl w:val="2FF8C25C"/>
    <w:lvl w:ilvl="0" w:tplc="8392D814">
      <w:start w:val="2"/>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5D7C2D66"/>
    <w:multiLevelType w:val="hybridMultilevel"/>
    <w:tmpl w:val="EA403F9A"/>
    <w:lvl w:ilvl="0" w:tplc="F97A6EC4">
      <w:start w:val="4"/>
      <w:numFmt w:val="bullet"/>
      <w:lvlText w:val="•"/>
      <w:lvlJc w:val="left"/>
      <w:pPr>
        <w:ind w:left="1778" w:hanging="360"/>
      </w:pPr>
      <w:rPr>
        <w:rFonts w:ascii="Times New Roman" w:eastAsiaTheme="minorHAnsi"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 w15:restartNumberingAfterBreak="0">
    <w:nsid w:val="6F98649D"/>
    <w:multiLevelType w:val="hybridMultilevel"/>
    <w:tmpl w:val="68063B9E"/>
    <w:lvl w:ilvl="0" w:tplc="9AF2C890">
      <w:start w:val="1"/>
      <w:numFmt w:val="decimal"/>
      <w:lvlText w:val="%1."/>
      <w:lvlJc w:val="left"/>
      <w:pPr>
        <w:ind w:left="720" w:hanging="360"/>
      </w:pPr>
    </w:lvl>
    <w:lvl w:ilvl="1" w:tplc="EF2C174A">
      <w:start w:val="1"/>
      <w:numFmt w:val="lowerLetter"/>
      <w:lvlText w:val="%2."/>
      <w:lvlJc w:val="left"/>
      <w:pPr>
        <w:ind w:left="1440" w:hanging="360"/>
      </w:pPr>
    </w:lvl>
    <w:lvl w:ilvl="2" w:tplc="D0FE239C">
      <w:start w:val="1"/>
      <w:numFmt w:val="lowerRoman"/>
      <w:lvlText w:val="%3."/>
      <w:lvlJc w:val="right"/>
      <w:pPr>
        <w:ind w:left="2160" w:hanging="180"/>
      </w:pPr>
    </w:lvl>
    <w:lvl w:ilvl="3" w:tplc="7DCA551A">
      <w:start w:val="1"/>
      <w:numFmt w:val="decimal"/>
      <w:lvlText w:val="%4."/>
      <w:lvlJc w:val="left"/>
      <w:pPr>
        <w:ind w:left="2880" w:hanging="360"/>
      </w:pPr>
    </w:lvl>
    <w:lvl w:ilvl="4" w:tplc="18560276">
      <w:start w:val="1"/>
      <w:numFmt w:val="lowerLetter"/>
      <w:lvlText w:val="%5."/>
      <w:lvlJc w:val="left"/>
      <w:pPr>
        <w:ind w:left="3600" w:hanging="360"/>
      </w:pPr>
    </w:lvl>
    <w:lvl w:ilvl="5" w:tplc="A9E691F4">
      <w:start w:val="1"/>
      <w:numFmt w:val="lowerRoman"/>
      <w:lvlText w:val="%6."/>
      <w:lvlJc w:val="right"/>
      <w:pPr>
        <w:ind w:left="4320" w:hanging="180"/>
      </w:pPr>
    </w:lvl>
    <w:lvl w:ilvl="6" w:tplc="B38C964A">
      <w:start w:val="1"/>
      <w:numFmt w:val="decimal"/>
      <w:lvlText w:val="%7."/>
      <w:lvlJc w:val="left"/>
      <w:pPr>
        <w:ind w:left="5040" w:hanging="360"/>
      </w:pPr>
    </w:lvl>
    <w:lvl w:ilvl="7" w:tplc="FDC62EFA">
      <w:start w:val="1"/>
      <w:numFmt w:val="lowerLetter"/>
      <w:lvlText w:val="%8."/>
      <w:lvlJc w:val="left"/>
      <w:pPr>
        <w:ind w:left="5760" w:hanging="360"/>
      </w:pPr>
    </w:lvl>
    <w:lvl w:ilvl="8" w:tplc="9FD4FE2A">
      <w:start w:val="1"/>
      <w:numFmt w:val="lowerRoman"/>
      <w:lvlText w:val="%9."/>
      <w:lvlJc w:val="right"/>
      <w:pPr>
        <w:ind w:left="6480" w:hanging="180"/>
      </w:pPr>
    </w:lvl>
  </w:abstractNum>
  <w:abstractNum w:abstractNumId="11" w15:restartNumberingAfterBreak="0">
    <w:nsid w:val="705F3C32"/>
    <w:multiLevelType w:val="hybridMultilevel"/>
    <w:tmpl w:val="39443380"/>
    <w:lvl w:ilvl="0" w:tplc="429CE422">
      <w:start w:val="1"/>
      <w:numFmt w:val="decimal"/>
      <w:lvlText w:val="%1."/>
      <w:lvlJc w:val="left"/>
      <w:pPr>
        <w:ind w:left="720" w:hanging="360"/>
      </w:pPr>
    </w:lvl>
    <w:lvl w:ilvl="1" w:tplc="AEAA42F8">
      <w:start w:val="1"/>
      <w:numFmt w:val="decimal"/>
      <w:lvlText w:val="(%2)"/>
      <w:lvlJc w:val="left"/>
      <w:pPr>
        <w:ind w:left="1440" w:hanging="360"/>
      </w:pPr>
    </w:lvl>
    <w:lvl w:ilvl="2" w:tplc="738EAE90">
      <w:start w:val="1"/>
      <w:numFmt w:val="lowerRoman"/>
      <w:lvlText w:val="%3."/>
      <w:lvlJc w:val="right"/>
      <w:pPr>
        <w:ind w:left="2160" w:hanging="180"/>
      </w:pPr>
    </w:lvl>
    <w:lvl w:ilvl="3" w:tplc="4F12CDE0">
      <w:start w:val="1"/>
      <w:numFmt w:val="decimal"/>
      <w:lvlText w:val="%4."/>
      <w:lvlJc w:val="left"/>
      <w:pPr>
        <w:ind w:left="2880" w:hanging="360"/>
      </w:pPr>
    </w:lvl>
    <w:lvl w:ilvl="4" w:tplc="A3325DBC">
      <w:start w:val="1"/>
      <w:numFmt w:val="lowerLetter"/>
      <w:lvlText w:val="%5."/>
      <w:lvlJc w:val="left"/>
      <w:pPr>
        <w:ind w:left="3600" w:hanging="360"/>
      </w:pPr>
    </w:lvl>
    <w:lvl w:ilvl="5" w:tplc="8A36CB82">
      <w:start w:val="1"/>
      <w:numFmt w:val="lowerRoman"/>
      <w:lvlText w:val="%6."/>
      <w:lvlJc w:val="right"/>
      <w:pPr>
        <w:ind w:left="4320" w:hanging="180"/>
      </w:pPr>
    </w:lvl>
    <w:lvl w:ilvl="6" w:tplc="E2ECFF9C">
      <w:start w:val="1"/>
      <w:numFmt w:val="decimal"/>
      <w:lvlText w:val="%7."/>
      <w:lvlJc w:val="left"/>
      <w:pPr>
        <w:ind w:left="5040" w:hanging="360"/>
      </w:pPr>
    </w:lvl>
    <w:lvl w:ilvl="7" w:tplc="99968F9A">
      <w:start w:val="1"/>
      <w:numFmt w:val="lowerLetter"/>
      <w:lvlText w:val="%8."/>
      <w:lvlJc w:val="left"/>
      <w:pPr>
        <w:ind w:left="5760" w:hanging="360"/>
      </w:pPr>
    </w:lvl>
    <w:lvl w:ilvl="8" w:tplc="A3F805F6">
      <w:start w:val="1"/>
      <w:numFmt w:val="lowerRoman"/>
      <w:lvlText w:val="%9."/>
      <w:lvlJc w:val="right"/>
      <w:pPr>
        <w:ind w:left="6480" w:hanging="180"/>
      </w:pPr>
    </w:lvl>
  </w:abstractNum>
  <w:abstractNum w:abstractNumId="12" w15:restartNumberingAfterBreak="0">
    <w:nsid w:val="715B00CA"/>
    <w:multiLevelType w:val="multilevel"/>
    <w:tmpl w:val="818C5E22"/>
    <w:lvl w:ilvl="0">
      <w:start w:val="1"/>
      <w:numFmt w:val="decimal"/>
      <w:lvlText w:val="%1."/>
      <w:lvlJc w:val="left"/>
      <w:pPr>
        <w:ind w:left="510" w:hanging="510"/>
      </w:pPr>
      <w:rPr>
        <w:rFonts w:ascii="Times New Roman" w:hAnsi="Times New Roman" w:cs="Times New Roman" w:hint="default"/>
        <w:b w:val="0"/>
        <w:bCs w:val="0"/>
        <w:i w:val="0"/>
        <w:sz w:val="24"/>
        <w:szCs w:val="24"/>
      </w:rPr>
    </w:lvl>
    <w:lvl w:ilvl="1">
      <w:start w:val="1"/>
      <w:numFmt w:val="decimal"/>
      <w:lvlText w:val="%1.%2."/>
      <w:lvlJc w:val="left"/>
      <w:pPr>
        <w:ind w:left="1361" w:hanging="851"/>
      </w:pPr>
      <w:rPr>
        <w:rFonts w:hint="default"/>
        <w:b w:val="0"/>
        <w:bCs w:val="0"/>
        <w:sz w:val="24"/>
        <w:szCs w:val="24"/>
      </w:rPr>
    </w:lvl>
    <w:lvl w:ilvl="2">
      <w:start w:val="1"/>
      <w:numFmt w:val="decimal"/>
      <w:lvlText w:val="%1.%2.%3."/>
      <w:lvlJc w:val="left"/>
      <w:pPr>
        <w:ind w:left="2381" w:hanging="1020"/>
      </w:pPr>
      <w:rPr>
        <w:rFonts w:hint="default"/>
        <w:b w:val="0"/>
        <w:bCs w:val="0"/>
        <w:sz w:val="24"/>
        <w:szCs w:val="24"/>
      </w:rPr>
    </w:lvl>
    <w:lvl w:ilvl="3">
      <w:start w:val="1"/>
      <w:numFmt w:val="decimal"/>
      <w:lvlText w:val="%1.%2.%3.%4."/>
      <w:lvlJc w:val="left"/>
      <w:pPr>
        <w:ind w:left="3345" w:hanging="96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80A5DBB"/>
    <w:multiLevelType w:val="hybridMultilevel"/>
    <w:tmpl w:val="17A68464"/>
    <w:lvl w:ilvl="0" w:tplc="90EE8A94">
      <w:start w:val="1"/>
      <w:numFmt w:val="decimal"/>
      <w:lvlText w:val="%1."/>
      <w:lvlJc w:val="left"/>
      <w:pPr>
        <w:ind w:left="720" w:hanging="360"/>
      </w:pPr>
    </w:lvl>
    <w:lvl w:ilvl="1" w:tplc="D7EC3316">
      <w:start w:val="1"/>
      <w:numFmt w:val="lowerLetter"/>
      <w:lvlText w:val="%2."/>
      <w:lvlJc w:val="left"/>
      <w:pPr>
        <w:ind w:left="1440" w:hanging="360"/>
      </w:pPr>
    </w:lvl>
    <w:lvl w:ilvl="2" w:tplc="302441C0">
      <w:start w:val="1"/>
      <w:numFmt w:val="lowerRoman"/>
      <w:lvlText w:val="%3."/>
      <w:lvlJc w:val="right"/>
      <w:pPr>
        <w:ind w:left="2160" w:hanging="180"/>
      </w:pPr>
    </w:lvl>
    <w:lvl w:ilvl="3" w:tplc="B484B1B2">
      <w:start w:val="1"/>
      <w:numFmt w:val="decimal"/>
      <w:lvlText w:val="%4."/>
      <w:lvlJc w:val="left"/>
      <w:pPr>
        <w:ind w:left="2880" w:hanging="360"/>
      </w:pPr>
    </w:lvl>
    <w:lvl w:ilvl="4" w:tplc="952A0E92">
      <w:start w:val="1"/>
      <w:numFmt w:val="lowerLetter"/>
      <w:lvlText w:val="%5."/>
      <w:lvlJc w:val="left"/>
      <w:pPr>
        <w:ind w:left="3600" w:hanging="360"/>
      </w:pPr>
    </w:lvl>
    <w:lvl w:ilvl="5" w:tplc="52609400">
      <w:start w:val="1"/>
      <w:numFmt w:val="lowerRoman"/>
      <w:lvlText w:val="%6."/>
      <w:lvlJc w:val="right"/>
      <w:pPr>
        <w:ind w:left="4320" w:hanging="180"/>
      </w:pPr>
    </w:lvl>
    <w:lvl w:ilvl="6" w:tplc="5394A60E">
      <w:start w:val="1"/>
      <w:numFmt w:val="decimal"/>
      <w:lvlText w:val="%7."/>
      <w:lvlJc w:val="left"/>
      <w:pPr>
        <w:ind w:left="5040" w:hanging="360"/>
      </w:pPr>
    </w:lvl>
    <w:lvl w:ilvl="7" w:tplc="D11CAA20">
      <w:start w:val="1"/>
      <w:numFmt w:val="lowerLetter"/>
      <w:lvlText w:val="%8."/>
      <w:lvlJc w:val="left"/>
      <w:pPr>
        <w:ind w:left="5760" w:hanging="360"/>
      </w:pPr>
    </w:lvl>
    <w:lvl w:ilvl="8" w:tplc="0F9C42FA">
      <w:start w:val="1"/>
      <w:numFmt w:val="lowerRoman"/>
      <w:lvlText w:val="%9."/>
      <w:lvlJc w:val="right"/>
      <w:pPr>
        <w:ind w:left="6480" w:hanging="180"/>
      </w:pPr>
    </w:lvl>
  </w:abstractNum>
  <w:abstractNum w:abstractNumId="14" w15:restartNumberingAfterBreak="0">
    <w:nsid w:val="7F89057B"/>
    <w:multiLevelType w:val="multilevel"/>
    <w:tmpl w:val="48DC8138"/>
    <w:lvl w:ilvl="0">
      <w:start w:val="1"/>
      <w:numFmt w:val="decimal"/>
      <w:pStyle w:val="ParaLevel1"/>
      <w:lvlText w:val="%1."/>
      <w:lvlJc w:val="left"/>
      <w:pPr>
        <w:tabs>
          <w:tab w:val="num" w:pos="720"/>
        </w:tabs>
        <w:ind w:left="720" w:hanging="720"/>
      </w:pPr>
      <w:rPr>
        <w:rFonts w:hint="default"/>
        <w:b w:val="0"/>
        <w:i w:val="0"/>
        <w:u w:val="none"/>
      </w:rPr>
    </w:lvl>
    <w:lvl w:ilvl="1">
      <w:start w:val="1"/>
      <w:numFmt w:val="decimal"/>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ascii="Times New Roman" w:hAnsi="Times New Roman" w:hint="default"/>
        <w:b w:val="0"/>
        <w:i w:val="0"/>
        <w:sz w:val="24"/>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5" w15:restartNumberingAfterBreak="0">
    <w:nsid w:val="7FE42862"/>
    <w:multiLevelType w:val="multilevel"/>
    <w:tmpl w:val="2EF82B6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0"/>
  </w:num>
  <w:num w:numId="3">
    <w:abstractNumId w:val="2"/>
  </w:num>
  <w:num w:numId="4">
    <w:abstractNumId w:val="0"/>
  </w:num>
  <w:num w:numId="5">
    <w:abstractNumId w:val="11"/>
  </w:num>
  <w:num w:numId="6">
    <w:abstractNumId w:val="3"/>
  </w:num>
  <w:num w:numId="7">
    <w:abstractNumId w:val="4"/>
  </w:num>
  <w:num w:numId="8">
    <w:abstractNumId w:val="14"/>
  </w:num>
  <w:num w:numId="9">
    <w:abstractNumId w:val="14"/>
    <w:lvlOverride w:ilvl="0">
      <w:lvl w:ilvl="0">
        <w:start w:val="1"/>
        <w:numFmt w:val="decimal"/>
        <w:pStyle w:val="ParaLevel1"/>
        <w:lvlText w:val="%1."/>
        <w:lvlJc w:val="left"/>
        <w:pPr>
          <w:tabs>
            <w:tab w:val="num" w:pos="720"/>
          </w:tabs>
          <w:ind w:left="720" w:hanging="720"/>
        </w:pPr>
        <w:rPr>
          <w:rFonts w:hint="default"/>
          <w:b w:val="0"/>
          <w:i w:val="0"/>
          <w:u w:val="none"/>
        </w:rPr>
      </w:lvl>
    </w:lvlOverride>
    <w:lvlOverride w:ilvl="1">
      <w:lvl w:ilvl="1">
        <w:start w:val="1"/>
        <w:numFmt w:val="decimal"/>
        <w:pStyle w:val="ParaLevel2"/>
        <w:lvlText w:val="(%2)"/>
        <w:lvlJc w:val="left"/>
        <w:pPr>
          <w:tabs>
            <w:tab w:val="num" w:pos="1418"/>
          </w:tabs>
          <w:ind w:left="1418" w:hanging="709"/>
        </w:pPr>
        <w:rPr>
          <w:rFonts w:ascii="Times New Roman" w:hAnsi="Times New Roman" w:hint="default"/>
          <w:b w:val="0"/>
          <w:i w:val="0"/>
          <w:sz w:val="24"/>
        </w:rPr>
      </w:lvl>
    </w:lvlOverride>
    <w:lvlOverride w:ilvl="2">
      <w:lvl w:ilvl="2">
        <w:start w:val="1"/>
        <w:numFmt w:val="lowerLetter"/>
        <w:pStyle w:val="ParaLevel3"/>
        <w:lvlText w:val="(%3)"/>
        <w:lvlJc w:val="left"/>
        <w:pPr>
          <w:tabs>
            <w:tab w:val="num" w:pos="2127"/>
          </w:tabs>
          <w:ind w:left="2127" w:hanging="709"/>
        </w:pPr>
        <w:rPr>
          <w:rFonts w:ascii="Times New Roman" w:hAnsi="Times New Roman" w:hint="default"/>
          <w:b w:val="0"/>
          <w:i w:val="0"/>
          <w:sz w:val="24"/>
        </w:rPr>
      </w:lvl>
    </w:lvlOverride>
    <w:lvlOverride w:ilvl="3">
      <w:lvl w:ilvl="3">
        <w:start w:val="1"/>
        <w:numFmt w:val="lowerRoman"/>
        <w:pStyle w:val="ParaLevel4"/>
        <w:lvlText w:val="%4)"/>
        <w:lvlJc w:val="left"/>
        <w:pPr>
          <w:tabs>
            <w:tab w:val="num" w:pos="3207"/>
          </w:tabs>
          <w:ind w:left="2836" w:hanging="709"/>
        </w:pPr>
        <w:rPr>
          <w:rFonts w:hint="default"/>
        </w:rPr>
      </w:lvl>
    </w:lvlOverride>
    <w:lvlOverride w:ilvl="4">
      <w:lvl w:ilvl="4">
        <w:start w:val="1"/>
        <w:numFmt w:val="lowerLetter"/>
        <w:pStyle w:val="ParaLevel5"/>
        <w:lvlText w:val="(%5)"/>
        <w:lvlJc w:val="left"/>
        <w:pPr>
          <w:tabs>
            <w:tab w:val="num" w:pos="3545"/>
          </w:tabs>
          <w:ind w:left="3545" w:hanging="709"/>
        </w:pPr>
        <w:rPr>
          <w:rFonts w:hint="default"/>
        </w:rPr>
      </w:lvl>
    </w:lvlOverride>
    <w:lvlOverride w:ilvl="5">
      <w:lvl w:ilvl="5">
        <w:start w:val="1"/>
        <w:numFmt w:val="lowerRoman"/>
        <w:pStyle w:val="ParaLevel6"/>
        <w:lvlText w:val="(%6)"/>
        <w:lvlJc w:val="left"/>
        <w:pPr>
          <w:tabs>
            <w:tab w:val="num" w:pos="4625"/>
          </w:tabs>
          <w:ind w:left="4254" w:hanging="709"/>
        </w:pPr>
        <w:rPr>
          <w:rFonts w:hint="default"/>
        </w:rPr>
      </w:lvl>
    </w:lvlOverride>
    <w:lvlOverride w:ilvl="6">
      <w:lvl w:ilvl="6">
        <w:start w:val="1"/>
        <w:numFmt w:val="lowerLetter"/>
        <w:pStyle w:val="ParaLevel7"/>
        <w:lvlText w:val="(%7)"/>
        <w:lvlJc w:val="left"/>
        <w:pPr>
          <w:tabs>
            <w:tab w:val="num" w:pos="4963"/>
          </w:tabs>
          <w:ind w:left="4963" w:hanging="709"/>
        </w:pPr>
        <w:rPr>
          <w:rFonts w:hint="default"/>
        </w:rPr>
      </w:lvl>
    </w:lvlOverride>
    <w:lvlOverride w:ilvl="7">
      <w:lvl w:ilvl="7">
        <w:start w:val="1"/>
        <w:numFmt w:val="lowerRoman"/>
        <w:pStyle w:val="ParaLevel8"/>
        <w:lvlText w:val="(%8)"/>
        <w:lvlJc w:val="left"/>
        <w:pPr>
          <w:tabs>
            <w:tab w:val="num" w:pos="6043"/>
          </w:tabs>
          <w:ind w:left="5672" w:hanging="709"/>
        </w:pPr>
        <w:rPr>
          <w:rFonts w:hint="default"/>
        </w:rPr>
      </w:lvl>
    </w:lvlOverride>
    <w:lvlOverride w:ilvl="8">
      <w:lvl w:ilvl="8">
        <w:start w:val="1"/>
        <w:numFmt w:val="lowerLetter"/>
        <w:pStyle w:val="ParaLevel9"/>
        <w:lvlText w:val="(%9)"/>
        <w:lvlJc w:val="left"/>
        <w:pPr>
          <w:tabs>
            <w:tab w:val="num" w:pos="6381"/>
          </w:tabs>
          <w:ind w:left="6381" w:hanging="709"/>
        </w:pPr>
        <w:rPr>
          <w:rFonts w:hint="default"/>
        </w:rPr>
      </w:lvl>
    </w:lvlOverride>
  </w:num>
  <w:num w:numId="10">
    <w:abstractNumId w:val="12"/>
  </w:num>
  <w:num w:numId="11">
    <w:abstractNumId w:val="14"/>
    <w:lvlOverride w:ilvl="0">
      <w:startOverride w:val="1"/>
    </w:lvlOverride>
    <w:lvlOverride w:ilvl="1">
      <w:startOverride w:val="3"/>
    </w:lvlOverride>
  </w:num>
  <w:num w:numId="12">
    <w:abstractNumId w:val="14"/>
  </w:num>
  <w:num w:numId="13">
    <w:abstractNumId w:val="14"/>
    <w:lvlOverride w:ilvl="0">
      <w:startOverride w:val="1"/>
    </w:lvlOverride>
    <w:lvlOverride w:ilvl="1">
      <w:startOverride w:val="3"/>
    </w:lvlOverride>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5"/>
  </w:num>
  <w:num w:numId="18">
    <w:abstractNumId w:val="7"/>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6D1"/>
    <w:rsid w:val="00003A96"/>
    <w:rsid w:val="00004FD7"/>
    <w:rsid w:val="00012E5F"/>
    <w:rsid w:val="00017F4B"/>
    <w:rsid w:val="00020D15"/>
    <w:rsid w:val="00023F21"/>
    <w:rsid w:val="00025418"/>
    <w:rsid w:val="00027847"/>
    <w:rsid w:val="0003084C"/>
    <w:rsid w:val="000334F2"/>
    <w:rsid w:val="00033B83"/>
    <w:rsid w:val="00033E96"/>
    <w:rsid w:val="000359EC"/>
    <w:rsid w:val="000361DA"/>
    <w:rsid w:val="000374D5"/>
    <w:rsid w:val="00042692"/>
    <w:rsid w:val="000478CB"/>
    <w:rsid w:val="00050F56"/>
    <w:rsid w:val="000550DC"/>
    <w:rsid w:val="00056AA7"/>
    <w:rsid w:val="00057305"/>
    <w:rsid w:val="00063AF6"/>
    <w:rsid w:val="0006432D"/>
    <w:rsid w:val="0006514A"/>
    <w:rsid w:val="00070A85"/>
    <w:rsid w:val="00073669"/>
    <w:rsid w:val="00076CC0"/>
    <w:rsid w:val="000775F0"/>
    <w:rsid w:val="0008090D"/>
    <w:rsid w:val="00084BAD"/>
    <w:rsid w:val="00085D85"/>
    <w:rsid w:val="00087BB0"/>
    <w:rsid w:val="00090B48"/>
    <w:rsid w:val="00096F19"/>
    <w:rsid w:val="000B23CE"/>
    <w:rsid w:val="000B3090"/>
    <w:rsid w:val="000B6A99"/>
    <w:rsid w:val="000C13EF"/>
    <w:rsid w:val="000C5816"/>
    <w:rsid w:val="000C6DC6"/>
    <w:rsid w:val="000D5838"/>
    <w:rsid w:val="000E0E3A"/>
    <w:rsid w:val="000E22FE"/>
    <w:rsid w:val="000E4278"/>
    <w:rsid w:val="000E4ED3"/>
    <w:rsid w:val="000E6967"/>
    <w:rsid w:val="000E7D87"/>
    <w:rsid w:val="000EBA98"/>
    <w:rsid w:val="000F33D1"/>
    <w:rsid w:val="001158FF"/>
    <w:rsid w:val="00121240"/>
    <w:rsid w:val="00126363"/>
    <w:rsid w:val="0012732E"/>
    <w:rsid w:val="0013460F"/>
    <w:rsid w:val="0013661C"/>
    <w:rsid w:val="00143400"/>
    <w:rsid w:val="001435ED"/>
    <w:rsid w:val="00146B47"/>
    <w:rsid w:val="00150722"/>
    <w:rsid w:val="00153E88"/>
    <w:rsid w:val="00166587"/>
    <w:rsid w:val="00170CA2"/>
    <w:rsid w:val="00171A5C"/>
    <w:rsid w:val="00173C88"/>
    <w:rsid w:val="0018546C"/>
    <w:rsid w:val="00195547"/>
    <w:rsid w:val="001A1535"/>
    <w:rsid w:val="001A363B"/>
    <w:rsid w:val="001A5A6F"/>
    <w:rsid w:val="001A674B"/>
    <w:rsid w:val="001C46D1"/>
    <w:rsid w:val="001D0EA9"/>
    <w:rsid w:val="001D3F34"/>
    <w:rsid w:val="001D5727"/>
    <w:rsid w:val="001F3B80"/>
    <w:rsid w:val="001F4306"/>
    <w:rsid w:val="00201148"/>
    <w:rsid w:val="00201A5B"/>
    <w:rsid w:val="00207E95"/>
    <w:rsid w:val="00210A4F"/>
    <w:rsid w:val="00212D39"/>
    <w:rsid w:val="00212D64"/>
    <w:rsid w:val="00217CA0"/>
    <w:rsid w:val="00222DE1"/>
    <w:rsid w:val="00223311"/>
    <w:rsid w:val="002265F4"/>
    <w:rsid w:val="00226AAB"/>
    <w:rsid w:val="00231697"/>
    <w:rsid w:val="00232F1F"/>
    <w:rsid w:val="002347EA"/>
    <w:rsid w:val="00236157"/>
    <w:rsid w:val="00240D63"/>
    <w:rsid w:val="00245767"/>
    <w:rsid w:val="00251FC4"/>
    <w:rsid w:val="0026390F"/>
    <w:rsid w:val="00270B5C"/>
    <w:rsid w:val="00281773"/>
    <w:rsid w:val="0028226B"/>
    <w:rsid w:val="0028347B"/>
    <w:rsid w:val="00285F48"/>
    <w:rsid w:val="002939F1"/>
    <w:rsid w:val="002A03DC"/>
    <w:rsid w:val="002A21E8"/>
    <w:rsid w:val="002C19BB"/>
    <w:rsid w:val="002C249E"/>
    <w:rsid w:val="002D16FC"/>
    <w:rsid w:val="002D549D"/>
    <w:rsid w:val="002E4A86"/>
    <w:rsid w:val="002E73AB"/>
    <w:rsid w:val="00300BE6"/>
    <w:rsid w:val="00313205"/>
    <w:rsid w:val="0032032A"/>
    <w:rsid w:val="0032227E"/>
    <w:rsid w:val="00333098"/>
    <w:rsid w:val="0033331F"/>
    <w:rsid w:val="00334895"/>
    <w:rsid w:val="00346E92"/>
    <w:rsid w:val="00352B94"/>
    <w:rsid w:val="0035421E"/>
    <w:rsid w:val="0036632E"/>
    <w:rsid w:val="00370210"/>
    <w:rsid w:val="003716FC"/>
    <w:rsid w:val="00381697"/>
    <w:rsid w:val="00381FBC"/>
    <w:rsid w:val="00384AEC"/>
    <w:rsid w:val="0038779E"/>
    <w:rsid w:val="0039112F"/>
    <w:rsid w:val="00394DD6"/>
    <w:rsid w:val="00395588"/>
    <w:rsid w:val="003A36AA"/>
    <w:rsid w:val="003A4A76"/>
    <w:rsid w:val="003B3CE0"/>
    <w:rsid w:val="003B694E"/>
    <w:rsid w:val="003BC25D"/>
    <w:rsid w:val="003C0B4E"/>
    <w:rsid w:val="003C4F0C"/>
    <w:rsid w:val="003C7B8B"/>
    <w:rsid w:val="003D5D22"/>
    <w:rsid w:val="003E48AB"/>
    <w:rsid w:val="003E79A0"/>
    <w:rsid w:val="003F1D8D"/>
    <w:rsid w:val="003F5F32"/>
    <w:rsid w:val="003F66AF"/>
    <w:rsid w:val="003F7091"/>
    <w:rsid w:val="003F741F"/>
    <w:rsid w:val="0040765E"/>
    <w:rsid w:val="00411C7C"/>
    <w:rsid w:val="00420CD8"/>
    <w:rsid w:val="004213BB"/>
    <w:rsid w:val="00422470"/>
    <w:rsid w:val="0043218B"/>
    <w:rsid w:val="00433D46"/>
    <w:rsid w:val="0043515E"/>
    <w:rsid w:val="004355B8"/>
    <w:rsid w:val="00437752"/>
    <w:rsid w:val="00441272"/>
    <w:rsid w:val="00441546"/>
    <w:rsid w:val="004471DD"/>
    <w:rsid w:val="00450B5C"/>
    <w:rsid w:val="00451E56"/>
    <w:rsid w:val="004521D1"/>
    <w:rsid w:val="00457410"/>
    <w:rsid w:val="00457831"/>
    <w:rsid w:val="00462348"/>
    <w:rsid w:val="00473665"/>
    <w:rsid w:val="00477FEF"/>
    <w:rsid w:val="00482172"/>
    <w:rsid w:val="00482D2C"/>
    <w:rsid w:val="00484D78"/>
    <w:rsid w:val="0049061F"/>
    <w:rsid w:val="00492E54"/>
    <w:rsid w:val="00493A40"/>
    <w:rsid w:val="00493AE0"/>
    <w:rsid w:val="004A018D"/>
    <w:rsid w:val="004A18F6"/>
    <w:rsid w:val="004A688B"/>
    <w:rsid w:val="004A7F5F"/>
    <w:rsid w:val="004B1D88"/>
    <w:rsid w:val="004B24DF"/>
    <w:rsid w:val="004B4882"/>
    <w:rsid w:val="004B5CA1"/>
    <w:rsid w:val="004B5D22"/>
    <w:rsid w:val="004B5F32"/>
    <w:rsid w:val="004B73EE"/>
    <w:rsid w:val="004C3B8C"/>
    <w:rsid w:val="004C3ED3"/>
    <w:rsid w:val="004C5020"/>
    <w:rsid w:val="004C58D8"/>
    <w:rsid w:val="004D3065"/>
    <w:rsid w:val="004D7167"/>
    <w:rsid w:val="004E2ECC"/>
    <w:rsid w:val="004F214D"/>
    <w:rsid w:val="004F5EA1"/>
    <w:rsid w:val="00503184"/>
    <w:rsid w:val="00505A03"/>
    <w:rsid w:val="00507408"/>
    <w:rsid w:val="00514C75"/>
    <w:rsid w:val="005229FE"/>
    <w:rsid w:val="00527AF9"/>
    <w:rsid w:val="00531996"/>
    <w:rsid w:val="00531E0F"/>
    <w:rsid w:val="00532B43"/>
    <w:rsid w:val="005410B3"/>
    <w:rsid w:val="00541E89"/>
    <w:rsid w:val="00546A13"/>
    <w:rsid w:val="005508E1"/>
    <w:rsid w:val="00556B2A"/>
    <w:rsid w:val="00557AC7"/>
    <w:rsid w:val="00562E91"/>
    <w:rsid w:val="00574AEB"/>
    <w:rsid w:val="0057735E"/>
    <w:rsid w:val="005778FC"/>
    <w:rsid w:val="005840FF"/>
    <w:rsid w:val="00585C09"/>
    <w:rsid w:val="005941E1"/>
    <w:rsid w:val="00594697"/>
    <w:rsid w:val="00596429"/>
    <w:rsid w:val="005A15CA"/>
    <w:rsid w:val="005B290B"/>
    <w:rsid w:val="005B566F"/>
    <w:rsid w:val="005C3A70"/>
    <w:rsid w:val="005C4C52"/>
    <w:rsid w:val="005C4E5E"/>
    <w:rsid w:val="005D1D1D"/>
    <w:rsid w:val="005D290D"/>
    <w:rsid w:val="005D3902"/>
    <w:rsid w:val="005E1C30"/>
    <w:rsid w:val="005E4A42"/>
    <w:rsid w:val="005F3AFE"/>
    <w:rsid w:val="005F4D01"/>
    <w:rsid w:val="005F640F"/>
    <w:rsid w:val="005F6A60"/>
    <w:rsid w:val="005F7953"/>
    <w:rsid w:val="00604558"/>
    <w:rsid w:val="0062315D"/>
    <w:rsid w:val="006236F3"/>
    <w:rsid w:val="006267F0"/>
    <w:rsid w:val="00626D7E"/>
    <w:rsid w:val="00632B59"/>
    <w:rsid w:val="00633036"/>
    <w:rsid w:val="00651936"/>
    <w:rsid w:val="00654BC1"/>
    <w:rsid w:val="00654F53"/>
    <w:rsid w:val="00656BF5"/>
    <w:rsid w:val="00657000"/>
    <w:rsid w:val="006646D5"/>
    <w:rsid w:val="00672E37"/>
    <w:rsid w:val="00674CF9"/>
    <w:rsid w:val="00680DD3"/>
    <w:rsid w:val="00692FCC"/>
    <w:rsid w:val="00693F06"/>
    <w:rsid w:val="006A2B31"/>
    <w:rsid w:val="006A71A2"/>
    <w:rsid w:val="006A763B"/>
    <w:rsid w:val="006C192B"/>
    <w:rsid w:val="006C6E66"/>
    <w:rsid w:val="006D14E9"/>
    <w:rsid w:val="006D6400"/>
    <w:rsid w:val="006E1744"/>
    <w:rsid w:val="006E231E"/>
    <w:rsid w:val="006F2FDB"/>
    <w:rsid w:val="007022FE"/>
    <w:rsid w:val="0071444D"/>
    <w:rsid w:val="0071587E"/>
    <w:rsid w:val="00720514"/>
    <w:rsid w:val="00726A01"/>
    <w:rsid w:val="00733F51"/>
    <w:rsid w:val="00736283"/>
    <w:rsid w:val="00744293"/>
    <w:rsid w:val="00751C6B"/>
    <w:rsid w:val="007530C7"/>
    <w:rsid w:val="00753F37"/>
    <w:rsid w:val="00756A52"/>
    <w:rsid w:val="00762838"/>
    <w:rsid w:val="00765690"/>
    <w:rsid w:val="00773E8E"/>
    <w:rsid w:val="00776FEE"/>
    <w:rsid w:val="00777CC8"/>
    <w:rsid w:val="00780FAD"/>
    <w:rsid w:val="00783E92"/>
    <w:rsid w:val="00784D79"/>
    <w:rsid w:val="007907BB"/>
    <w:rsid w:val="00790FD3"/>
    <w:rsid w:val="007A3C5B"/>
    <w:rsid w:val="007A60F7"/>
    <w:rsid w:val="007B0D1C"/>
    <w:rsid w:val="007B6B38"/>
    <w:rsid w:val="007C63D8"/>
    <w:rsid w:val="007D07A3"/>
    <w:rsid w:val="007D5536"/>
    <w:rsid w:val="007D682A"/>
    <w:rsid w:val="007E017E"/>
    <w:rsid w:val="007E5A07"/>
    <w:rsid w:val="007E647C"/>
    <w:rsid w:val="007E78D2"/>
    <w:rsid w:val="007ED482"/>
    <w:rsid w:val="007F0B42"/>
    <w:rsid w:val="007F2BD7"/>
    <w:rsid w:val="007F3092"/>
    <w:rsid w:val="007F3B9E"/>
    <w:rsid w:val="007F458E"/>
    <w:rsid w:val="008015D4"/>
    <w:rsid w:val="008101DF"/>
    <w:rsid w:val="008163C2"/>
    <w:rsid w:val="008166DA"/>
    <w:rsid w:val="00833FA4"/>
    <w:rsid w:val="00837276"/>
    <w:rsid w:val="00846B26"/>
    <w:rsid w:val="00853AA7"/>
    <w:rsid w:val="00857777"/>
    <w:rsid w:val="0087060C"/>
    <w:rsid w:val="008759CA"/>
    <w:rsid w:val="00875C4D"/>
    <w:rsid w:val="00885C6B"/>
    <w:rsid w:val="00885D28"/>
    <w:rsid w:val="0089492F"/>
    <w:rsid w:val="008A0E2D"/>
    <w:rsid w:val="008A6631"/>
    <w:rsid w:val="008A71C4"/>
    <w:rsid w:val="008B041F"/>
    <w:rsid w:val="008B2C7D"/>
    <w:rsid w:val="008C140A"/>
    <w:rsid w:val="008C1E7D"/>
    <w:rsid w:val="008C284D"/>
    <w:rsid w:val="008E0B90"/>
    <w:rsid w:val="008E38E9"/>
    <w:rsid w:val="008E4042"/>
    <w:rsid w:val="008F3A6A"/>
    <w:rsid w:val="008F6A07"/>
    <w:rsid w:val="00902F4B"/>
    <w:rsid w:val="0091121C"/>
    <w:rsid w:val="00912E55"/>
    <w:rsid w:val="009178B1"/>
    <w:rsid w:val="0092273A"/>
    <w:rsid w:val="00932134"/>
    <w:rsid w:val="00933C52"/>
    <w:rsid w:val="00935768"/>
    <w:rsid w:val="00935956"/>
    <w:rsid w:val="00941394"/>
    <w:rsid w:val="00942778"/>
    <w:rsid w:val="00944401"/>
    <w:rsid w:val="00945343"/>
    <w:rsid w:val="009547FB"/>
    <w:rsid w:val="0096059D"/>
    <w:rsid w:val="00964BC6"/>
    <w:rsid w:val="009729F9"/>
    <w:rsid w:val="00972D9D"/>
    <w:rsid w:val="009761A8"/>
    <w:rsid w:val="00977F5D"/>
    <w:rsid w:val="00992083"/>
    <w:rsid w:val="0099359A"/>
    <w:rsid w:val="00993B0B"/>
    <w:rsid w:val="00995740"/>
    <w:rsid w:val="0099617D"/>
    <w:rsid w:val="009A01DD"/>
    <w:rsid w:val="009A1706"/>
    <w:rsid w:val="009A32D1"/>
    <w:rsid w:val="009A6EDF"/>
    <w:rsid w:val="009D38E0"/>
    <w:rsid w:val="009E1C17"/>
    <w:rsid w:val="009E4D17"/>
    <w:rsid w:val="009E6131"/>
    <w:rsid w:val="009F1C65"/>
    <w:rsid w:val="009F2730"/>
    <w:rsid w:val="009F325E"/>
    <w:rsid w:val="00A06D9F"/>
    <w:rsid w:val="00A14CC6"/>
    <w:rsid w:val="00A15807"/>
    <w:rsid w:val="00A214AB"/>
    <w:rsid w:val="00A26B62"/>
    <w:rsid w:val="00A31A40"/>
    <w:rsid w:val="00A31CB3"/>
    <w:rsid w:val="00A33DDC"/>
    <w:rsid w:val="00A3520B"/>
    <w:rsid w:val="00A47FCD"/>
    <w:rsid w:val="00A52B0F"/>
    <w:rsid w:val="00A53559"/>
    <w:rsid w:val="00A54435"/>
    <w:rsid w:val="00A5698E"/>
    <w:rsid w:val="00A619E1"/>
    <w:rsid w:val="00A72CDC"/>
    <w:rsid w:val="00A807E6"/>
    <w:rsid w:val="00A83FDD"/>
    <w:rsid w:val="00A86F83"/>
    <w:rsid w:val="00A966A9"/>
    <w:rsid w:val="00AA393D"/>
    <w:rsid w:val="00AB1DAA"/>
    <w:rsid w:val="00AB594C"/>
    <w:rsid w:val="00AB5E10"/>
    <w:rsid w:val="00AC2FFF"/>
    <w:rsid w:val="00AC6944"/>
    <w:rsid w:val="00AD035C"/>
    <w:rsid w:val="00AD11BC"/>
    <w:rsid w:val="00AD1708"/>
    <w:rsid w:val="00AD4363"/>
    <w:rsid w:val="00AD5FC7"/>
    <w:rsid w:val="00ADFD30"/>
    <w:rsid w:val="00AE124B"/>
    <w:rsid w:val="00AE3E4F"/>
    <w:rsid w:val="00AF2030"/>
    <w:rsid w:val="00AF4D00"/>
    <w:rsid w:val="00B01F52"/>
    <w:rsid w:val="00B047DD"/>
    <w:rsid w:val="00B04F3E"/>
    <w:rsid w:val="00B05265"/>
    <w:rsid w:val="00B07919"/>
    <w:rsid w:val="00B15DEB"/>
    <w:rsid w:val="00B2199F"/>
    <w:rsid w:val="00B25741"/>
    <w:rsid w:val="00B40FF9"/>
    <w:rsid w:val="00B47E14"/>
    <w:rsid w:val="00B56EA8"/>
    <w:rsid w:val="00B62E33"/>
    <w:rsid w:val="00B675C2"/>
    <w:rsid w:val="00B807AA"/>
    <w:rsid w:val="00B83E41"/>
    <w:rsid w:val="00B84EE5"/>
    <w:rsid w:val="00B8629F"/>
    <w:rsid w:val="00B8695B"/>
    <w:rsid w:val="00BA5CD9"/>
    <w:rsid w:val="00BA7AF8"/>
    <w:rsid w:val="00BC19DF"/>
    <w:rsid w:val="00BC276D"/>
    <w:rsid w:val="00BC37BA"/>
    <w:rsid w:val="00BC3E2C"/>
    <w:rsid w:val="00BC4B82"/>
    <w:rsid w:val="00BC6530"/>
    <w:rsid w:val="00BD0C48"/>
    <w:rsid w:val="00BD6EAD"/>
    <w:rsid w:val="00BE4035"/>
    <w:rsid w:val="00BE5C9E"/>
    <w:rsid w:val="00BE71C8"/>
    <w:rsid w:val="00BF5E01"/>
    <w:rsid w:val="00BF7F69"/>
    <w:rsid w:val="00C00750"/>
    <w:rsid w:val="00C25AFB"/>
    <w:rsid w:val="00C25E92"/>
    <w:rsid w:val="00C27D07"/>
    <w:rsid w:val="00C44E59"/>
    <w:rsid w:val="00C47C2B"/>
    <w:rsid w:val="00C501D1"/>
    <w:rsid w:val="00C664C8"/>
    <w:rsid w:val="00C66817"/>
    <w:rsid w:val="00C737CE"/>
    <w:rsid w:val="00C7381E"/>
    <w:rsid w:val="00C73BA1"/>
    <w:rsid w:val="00C77F7E"/>
    <w:rsid w:val="00C8454B"/>
    <w:rsid w:val="00C90F39"/>
    <w:rsid w:val="00CA1924"/>
    <w:rsid w:val="00CC5D6E"/>
    <w:rsid w:val="00CC67E0"/>
    <w:rsid w:val="00CD6C2D"/>
    <w:rsid w:val="00CE762E"/>
    <w:rsid w:val="00CF2273"/>
    <w:rsid w:val="00CF2FB8"/>
    <w:rsid w:val="00D00D5F"/>
    <w:rsid w:val="00D078EC"/>
    <w:rsid w:val="00D13A4F"/>
    <w:rsid w:val="00D17B1E"/>
    <w:rsid w:val="00D21330"/>
    <w:rsid w:val="00D21C13"/>
    <w:rsid w:val="00D26F3C"/>
    <w:rsid w:val="00D37BA4"/>
    <w:rsid w:val="00D50107"/>
    <w:rsid w:val="00D524A4"/>
    <w:rsid w:val="00D55048"/>
    <w:rsid w:val="00D63342"/>
    <w:rsid w:val="00D653DF"/>
    <w:rsid w:val="00D65F9E"/>
    <w:rsid w:val="00D744FB"/>
    <w:rsid w:val="00D76141"/>
    <w:rsid w:val="00D76F39"/>
    <w:rsid w:val="00D833D2"/>
    <w:rsid w:val="00D85441"/>
    <w:rsid w:val="00D936AA"/>
    <w:rsid w:val="00D93B6D"/>
    <w:rsid w:val="00D93FA4"/>
    <w:rsid w:val="00D959F2"/>
    <w:rsid w:val="00DA30F2"/>
    <w:rsid w:val="00DB036D"/>
    <w:rsid w:val="00DC0063"/>
    <w:rsid w:val="00DC0136"/>
    <w:rsid w:val="00DC27CF"/>
    <w:rsid w:val="00DC44FF"/>
    <w:rsid w:val="00DD3E95"/>
    <w:rsid w:val="00DE21E5"/>
    <w:rsid w:val="00DE649C"/>
    <w:rsid w:val="00DF05A8"/>
    <w:rsid w:val="00DF0CBD"/>
    <w:rsid w:val="00DF72CC"/>
    <w:rsid w:val="00E11D2E"/>
    <w:rsid w:val="00E33D95"/>
    <w:rsid w:val="00E416E7"/>
    <w:rsid w:val="00E46C7D"/>
    <w:rsid w:val="00E51F47"/>
    <w:rsid w:val="00E52B8F"/>
    <w:rsid w:val="00E5672A"/>
    <w:rsid w:val="00E57DAB"/>
    <w:rsid w:val="00E60047"/>
    <w:rsid w:val="00E61A7B"/>
    <w:rsid w:val="00E646DC"/>
    <w:rsid w:val="00E65D20"/>
    <w:rsid w:val="00E71B24"/>
    <w:rsid w:val="00E75324"/>
    <w:rsid w:val="00E81429"/>
    <w:rsid w:val="00E83A00"/>
    <w:rsid w:val="00E92BA1"/>
    <w:rsid w:val="00EA090C"/>
    <w:rsid w:val="00EA57F3"/>
    <w:rsid w:val="00EB37DE"/>
    <w:rsid w:val="00EB468D"/>
    <w:rsid w:val="00EB61AC"/>
    <w:rsid w:val="00EB6ED1"/>
    <w:rsid w:val="00EC13E6"/>
    <w:rsid w:val="00ED0402"/>
    <w:rsid w:val="00ED12F6"/>
    <w:rsid w:val="00ED232C"/>
    <w:rsid w:val="00ED44A4"/>
    <w:rsid w:val="00ED4F4F"/>
    <w:rsid w:val="00ED5909"/>
    <w:rsid w:val="00EE0ED9"/>
    <w:rsid w:val="00EE3F38"/>
    <w:rsid w:val="00EF5CFE"/>
    <w:rsid w:val="00F1093A"/>
    <w:rsid w:val="00F1750F"/>
    <w:rsid w:val="00F2071A"/>
    <w:rsid w:val="00F227F4"/>
    <w:rsid w:val="00F25461"/>
    <w:rsid w:val="00F259EF"/>
    <w:rsid w:val="00F25CE3"/>
    <w:rsid w:val="00F35B6C"/>
    <w:rsid w:val="00F47E38"/>
    <w:rsid w:val="00F56272"/>
    <w:rsid w:val="00F70284"/>
    <w:rsid w:val="00F709F8"/>
    <w:rsid w:val="00F715B4"/>
    <w:rsid w:val="00F753A1"/>
    <w:rsid w:val="00F758AF"/>
    <w:rsid w:val="00F80561"/>
    <w:rsid w:val="00F90E77"/>
    <w:rsid w:val="00F95C7E"/>
    <w:rsid w:val="00F95D55"/>
    <w:rsid w:val="00FB181E"/>
    <w:rsid w:val="00FB726E"/>
    <w:rsid w:val="00FC1572"/>
    <w:rsid w:val="00FC4E62"/>
    <w:rsid w:val="00FC58F6"/>
    <w:rsid w:val="00FD5D94"/>
    <w:rsid w:val="016D4D8B"/>
    <w:rsid w:val="01923EB2"/>
    <w:rsid w:val="019FB6AD"/>
    <w:rsid w:val="0212098D"/>
    <w:rsid w:val="032725FB"/>
    <w:rsid w:val="035B0D05"/>
    <w:rsid w:val="0376B16A"/>
    <w:rsid w:val="0400141E"/>
    <w:rsid w:val="041578D6"/>
    <w:rsid w:val="04734289"/>
    <w:rsid w:val="05EED422"/>
    <w:rsid w:val="064C8778"/>
    <w:rsid w:val="06856E7A"/>
    <w:rsid w:val="0715C2E7"/>
    <w:rsid w:val="0720AC06"/>
    <w:rsid w:val="0814AD56"/>
    <w:rsid w:val="0861938A"/>
    <w:rsid w:val="088686BA"/>
    <w:rsid w:val="08D7D200"/>
    <w:rsid w:val="08E87AA2"/>
    <w:rsid w:val="08F86621"/>
    <w:rsid w:val="094DC76D"/>
    <w:rsid w:val="099025E7"/>
    <w:rsid w:val="0A204125"/>
    <w:rsid w:val="0AEE74E4"/>
    <w:rsid w:val="0AF41F2E"/>
    <w:rsid w:val="0B00E9BA"/>
    <w:rsid w:val="0B13F719"/>
    <w:rsid w:val="0B19B533"/>
    <w:rsid w:val="0B3BBBA2"/>
    <w:rsid w:val="0B4B3057"/>
    <w:rsid w:val="0B55C378"/>
    <w:rsid w:val="0B89BA68"/>
    <w:rsid w:val="0BEF4300"/>
    <w:rsid w:val="0CF85181"/>
    <w:rsid w:val="0D22282D"/>
    <w:rsid w:val="0D54C367"/>
    <w:rsid w:val="0D5F50B8"/>
    <w:rsid w:val="0D7E0838"/>
    <w:rsid w:val="0DC440E9"/>
    <w:rsid w:val="0DE82BAD"/>
    <w:rsid w:val="0DEB902E"/>
    <w:rsid w:val="0E02840B"/>
    <w:rsid w:val="0E96F5B2"/>
    <w:rsid w:val="0EB0AC4E"/>
    <w:rsid w:val="0EB7ACB1"/>
    <w:rsid w:val="0F0AB749"/>
    <w:rsid w:val="0F61E787"/>
    <w:rsid w:val="0F82B18F"/>
    <w:rsid w:val="0F8B2505"/>
    <w:rsid w:val="0FE84BAC"/>
    <w:rsid w:val="1032C613"/>
    <w:rsid w:val="10DC05BF"/>
    <w:rsid w:val="10FBE964"/>
    <w:rsid w:val="1183B114"/>
    <w:rsid w:val="118BD4F9"/>
    <w:rsid w:val="1242580B"/>
    <w:rsid w:val="12EC5BF8"/>
    <w:rsid w:val="12FF485C"/>
    <w:rsid w:val="134AE82E"/>
    <w:rsid w:val="135CA961"/>
    <w:rsid w:val="1361D17C"/>
    <w:rsid w:val="13B297BB"/>
    <w:rsid w:val="13E6890A"/>
    <w:rsid w:val="13ED065E"/>
    <w:rsid w:val="13F0C16D"/>
    <w:rsid w:val="14882C59"/>
    <w:rsid w:val="14A6305F"/>
    <w:rsid w:val="14F4190C"/>
    <w:rsid w:val="154D5E33"/>
    <w:rsid w:val="1557F557"/>
    <w:rsid w:val="15CB7096"/>
    <w:rsid w:val="15D2D669"/>
    <w:rsid w:val="161E1C26"/>
    <w:rsid w:val="164B5FDC"/>
    <w:rsid w:val="16786BC4"/>
    <w:rsid w:val="16C4DB18"/>
    <w:rsid w:val="16F4848F"/>
    <w:rsid w:val="175D61E1"/>
    <w:rsid w:val="176AD496"/>
    <w:rsid w:val="176D45B4"/>
    <w:rsid w:val="17BB2623"/>
    <w:rsid w:val="17FC4949"/>
    <w:rsid w:val="182D0981"/>
    <w:rsid w:val="1866C52E"/>
    <w:rsid w:val="186B2117"/>
    <w:rsid w:val="18840497"/>
    <w:rsid w:val="189F5C61"/>
    <w:rsid w:val="18A676C6"/>
    <w:rsid w:val="18D96A53"/>
    <w:rsid w:val="191F7CC1"/>
    <w:rsid w:val="1952C819"/>
    <w:rsid w:val="196CC879"/>
    <w:rsid w:val="19AA4EC9"/>
    <w:rsid w:val="19C4792C"/>
    <w:rsid w:val="19E5B26E"/>
    <w:rsid w:val="1A271C8D"/>
    <w:rsid w:val="1A77F26F"/>
    <w:rsid w:val="1AAF95D8"/>
    <w:rsid w:val="1AD0CA4A"/>
    <w:rsid w:val="1B022B85"/>
    <w:rsid w:val="1B072AF2"/>
    <w:rsid w:val="1B106C10"/>
    <w:rsid w:val="1B3E4B86"/>
    <w:rsid w:val="1BCE67CA"/>
    <w:rsid w:val="1BDF3344"/>
    <w:rsid w:val="1C0FF597"/>
    <w:rsid w:val="1C2998F5"/>
    <w:rsid w:val="1C69A80D"/>
    <w:rsid w:val="1C81364F"/>
    <w:rsid w:val="1CE3D0BE"/>
    <w:rsid w:val="1CEF8B65"/>
    <w:rsid w:val="1D3C05D1"/>
    <w:rsid w:val="1DE2F875"/>
    <w:rsid w:val="1DFA968B"/>
    <w:rsid w:val="1E272FED"/>
    <w:rsid w:val="1E7E5C53"/>
    <w:rsid w:val="1ED30C07"/>
    <w:rsid w:val="1F0E64F5"/>
    <w:rsid w:val="1F8EBE45"/>
    <w:rsid w:val="1FF194FB"/>
    <w:rsid w:val="1FFBB776"/>
    <w:rsid w:val="200A6953"/>
    <w:rsid w:val="20567EDA"/>
    <w:rsid w:val="20E48FC7"/>
    <w:rsid w:val="20FBF847"/>
    <w:rsid w:val="210667C0"/>
    <w:rsid w:val="220630C1"/>
    <w:rsid w:val="224E8395"/>
    <w:rsid w:val="22D0D4C5"/>
    <w:rsid w:val="23028EEA"/>
    <w:rsid w:val="23A6B5BF"/>
    <w:rsid w:val="23D18131"/>
    <w:rsid w:val="24099FC2"/>
    <w:rsid w:val="2493C7A3"/>
    <w:rsid w:val="24BA196A"/>
    <w:rsid w:val="2501B0B9"/>
    <w:rsid w:val="25DECC01"/>
    <w:rsid w:val="264D0B6E"/>
    <w:rsid w:val="26C5D892"/>
    <w:rsid w:val="26E0CFE6"/>
    <w:rsid w:val="26E45866"/>
    <w:rsid w:val="27352E46"/>
    <w:rsid w:val="2739BCBD"/>
    <w:rsid w:val="275EA690"/>
    <w:rsid w:val="278F49DE"/>
    <w:rsid w:val="27B00866"/>
    <w:rsid w:val="27E8DBCF"/>
    <w:rsid w:val="29133D9B"/>
    <w:rsid w:val="294F4D57"/>
    <w:rsid w:val="2A0A8B2E"/>
    <w:rsid w:val="2A0BF706"/>
    <w:rsid w:val="2A0D4E6E"/>
    <w:rsid w:val="2A556856"/>
    <w:rsid w:val="2A8B9F68"/>
    <w:rsid w:val="2A9169E7"/>
    <w:rsid w:val="2AB45626"/>
    <w:rsid w:val="2B9B18AC"/>
    <w:rsid w:val="2BAD9FFB"/>
    <w:rsid w:val="2BAFAF8E"/>
    <w:rsid w:val="2BBECA35"/>
    <w:rsid w:val="2BD212E0"/>
    <w:rsid w:val="2BD660DE"/>
    <w:rsid w:val="2C6AEAE7"/>
    <w:rsid w:val="2CEBC734"/>
    <w:rsid w:val="2D163B97"/>
    <w:rsid w:val="2D94852E"/>
    <w:rsid w:val="2DB42992"/>
    <w:rsid w:val="2DDB646E"/>
    <w:rsid w:val="2E638BE4"/>
    <w:rsid w:val="2E71193F"/>
    <w:rsid w:val="2E9EADDF"/>
    <w:rsid w:val="2EA4D65D"/>
    <w:rsid w:val="301DAE08"/>
    <w:rsid w:val="3080344A"/>
    <w:rsid w:val="3090A9A4"/>
    <w:rsid w:val="30EA3A3B"/>
    <w:rsid w:val="31247910"/>
    <w:rsid w:val="320DA243"/>
    <w:rsid w:val="3230CA2E"/>
    <w:rsid w:val="32539FE0"/>
    <w:rsid w:val="327CF982"/>
    <w:rsid w:val="32890DC4"/>
    <w:rsid w:val="32ADBC31"/>
    <w:rsid w:val="32C35A74"/>
    <w:rsid w:val="3349DCAD"/>
    <w:rsid w:val="33846259"/>
    <w:rsid w:val="33893737"/>
    <w:rsid w:val="338D83F6"/>
    <w:rsid w:val="3403A9AC"/>
    <w:rsid w:val="35863920"/>
    <w:rsid w:val="36A9E39D"/>
    <w:rsid w:val="36C93E28"/>
    <w:rsid w:val="36CD69B0"/>
    <w:rsid w:val="36EEBE29"/>
    <w:rsid w:val="36EFEFAD"/>
    <w:rsid w:val="36FF9459"/>
    <w:rsid w:val="378FA7D4"/>
    <w:rsid w:val="380CCF88"/>
    <w:rsid w:val="385D5381"/>
    <w:rsid w:val="3860F519"/>
    <w:rsid w:val="3883F0B7"/>
    <w:rsid w:val="38F8C6B3"/>
    <w:rsid w:val="390D4B53"/>
    <w:rsid w:val="39A89FE9"/>
    <w:rsid w:val="3A1FC118"/>
    <w:rsid w:val="3A6A4010"/>
    <w:rsid w:val="3A70AA73"/>
    <w:rsid w:val="3A9412BA"/>
    <w:rsid w:val="3AACD03E"/>
    <w:rsid w:val="3B5A5275"/>
    <w:rsid w:val="3B7B20BF"/>
    <w:rsid w:val="3BA906EF"/>
    <w:rsid w:val="3C27C46E"/>
    <w:rsid w:val="3C981774"/>
    <w:rsid w:val="3D6305DB"/>
    <w:rsid w:val="3D697AA0"/>
    <w:rsid w:val="3D708A37"/>
    <w:rsid w:val="3D77B3BA"/>
    <w:rsid w:val="3DAAF82A"/>
    <w:rsid w:val="3DD9D861"/>
    <w:rsid w:val="3DF43034"/>
    <w:rsid w:val="3E5028F7"/>
    <w:rsid w:val="3E91A36D"/>
    <w:rsid w:val="3E9E9DE7"/>
    <w:rsid w:val="3E9F0E58"/>
    <w:rsid w:val="3EE0A7B1"/>
    <w:rsid w:val="3EF9D00E"/>
    <w:rsid w:val="3F3930D8"/>
    <w:rsid w:val="3F4E6E3D"/>
    <w:rsid w:val="400BC306"/>
    <w:rsid w:val="403B287E"/>
    <w:rsid w:val="404238E4"/>
    <w:rsid w:val="407372C2"/>
    <w:rsid w:val="4083D02F"/>
    <w:rsid w:val="40AFCEFD"/>
    <w:rsid w:val="413C9D7A"/>
    <w:rsid w:val="41921D2E"/>
    <w:rsid w:val="419A9061"/>
    <w:rsid w:val="421CA929"/>
    <w:rsid w:val="42807C75"/>
    <w:rsid w:val="42FB1890"/>
    <w:rsid w:val="436B7C47"/>
    <w:rsid w:val="43708B5A"/>
    <w:rsid w:val="43C588E6"/>
    <w:rsid w:val="43D01104"/>
    <w:rsid w:val="441C4CD6"/>
    <w:rsid w:val="445DBFD3"/>
    <w:rsid w:val="446DD8BF"/>
    <w:rsid w:val="454FE935"/>
    <w:rsid w:val="45F1D283"/>
    <w:rsid w:val="45F496FE"/>
    <w:rsid w:val="467251AD"/>
    <w:rsid w:val="468877C7"/>
    <w:rsid w:val="468C21E2"/>
    <w:rsid w:val="469A5AFC"/>
    <w:rsid w:val="46C9ABA9"/>
    <w:rsid w:val="46FDBE30"/>
    <w:rsid w:val="4705E824"/>
    <w:rsid w:val="47174307"/>
    <w:rsid w:val="4801A244"/>
    <w:rsid w:val="481FD5D4"/>
    <w:rsid w:val="48297B99"/>
    <w:rsid w:val="4862443F"/>
    <w:rsid w:val="4866889A"/>
    <w:rsid w:val="48AC85EB"/>
    <w:rsid w:val="49384E39"/>
    <w:rsid w:val="49A6FFD1"/>
    <w:rsid w:val="49B85087"/>
    <w:rsid w:val="4A3DD268"/>
    <w:rsid w:val="4A7DEA17"/>
    <w:rsid w:val="4AB25E1A"/>
    <w:rsid w:val="4AD9BE0A"/>
    <w:rsid w:val="4AF0D2CC"/>
    <w:rsid w:val="4B5D20F0"/>
    <w:rsid w:val="4BC1B9E9"/>
    <w:rsid w:val="4BFE17D4"/>
    <w:rsid w:val="4C157D42"/>
    <w:rsid w:val="4C64D09F"/>
    <w:rsid w:val="4D1E69C9"/>
    <w:rsid w:val="4D313ECB"/>
    <w:rsid w:val="4D539334"/>
    <w:rsid w:val="4D57EA17"/>
    <w:rsid w:val="4D62D60D"/>
    <w:rsid w:val="4D94492E"/>
    <w:rsid w:val="4E20D7DD"/>
    <w:rsid w:val="4E5F943D"/>
    <w:rsid w:val="4E5FEB0C"/>
    <w:rsid w:val="4ED17AD6"/>
    <w:rsid w:val="4F1B88C0"/>
    <w:rsid w:val="4F5F3F96"/>
    <w:rsid w:val="4F637761"/>
    <w:rsid w:val="4F7ABFE6"/>
    <w:rsid w:val="4F94D988"/>
    <w:rsid w:val="4FB2DF3E"/>
    <w:rsid w:val="4FE231AF"/>
    <w:rsid w:val="50790316"/>
    <w:rsid w:val="50A513FB"/>
    <w:rsid w:val="510C9744"/>
    <w:rsid w:val="514C1FA1"/>
    <w:rsid w:val="5198E959"/>
    <w:rsid w:val="51E1446F"/>
    <w:rsid w:val="5295A69E"/>
    <w:rsid w:val="52A1D5E0"/>
    <w:rsid w:val="53906759"/>
    <w:rsid w:val="53BE1BDF"/>
    <w:rsid w:val="53DC80E1"/>
    <w:rsid w:val="54225E51"/>
    <w:rsid w:val="5436C7B5"/>
    <w:rsid w:val="546A9806"/>
    <w:rsid w:val="548CE71C"/>
    <w:rsid w:val="54E3F8E5"/>
    <w:rsid w:val="5541A3D8"/>
    <w:rsid w:val="554FACD4"/>
    <w:rsid w:val="555C7F61"/>
    <w:rsid w:val="55A477A3"/>
    <w:rsid w:val="564F5778"/>
    <w:rsid w:val="56E65FCD"/>
    <w:rsid w:val="5701133B"/>
    <w:rsid w:val="575CC610"/>
    <w:rsid w:val="57EDB418"/>
    <w:rsid w:val="58A49395"/>
    <w:rsid w:val="5926DC8F"/>
    <w:rsid w:val="59D0D7FD"/>
    <w:rsid w:val="59DDCC4E"/>
    <w:rsid w:val="5A4FD7CF"/>
    <w:rsid w:val="5AD3E7B1"/>
    <w:rsid w:val="5B46B5D3"/>
    <w:rsid w:val="5B6CA85E"/>
    <w:rsid w:val="5B771C12"/>
    <w:rsid w:val="5BB29888"/>
    <w:rsid w:val="5BC32AFE"/>
    <w:rsid w:val="5BD97462"/>
    <w:rsid w:val="5BDE8BBC"/>
    <w:rsid w:val="5C52046B"/>
    <w:rsid w:val="5C7D4E55"/>
    <w:rsid w:val="5CD7359B"/>
    <w:rsid w:val="5D0878BF"/>
    <w:rsid w:val="5D2ECD91"/>
    <w:rsid w:val="5D648787"/>
    <w:rsid w:val="5D790C6A"/>
    <w:rsid w:val="5DABE193"/>
    <w:rsid w:val="5DC73A21"/>
    <w:rsid w:val="5E42B42A"/>
    <w:rsid w:val="5E95C335"/>
    <w:rsid w:val="5E994095"/>
    <w:rsid w:val="5EA1156A"/>
    <w:rsid w:val="5EDBA36A"/>
    <w:rsid w:val="5EEA394A"/>
    <w:rsid w:val="5EF8EF13"/>
    <w:rsid w:val="5EFBFEF2"/>
    <w:rsid w:val="5F183BED"/>
    <w:rsid w:val="5F40C711"/>
    <w:rsid w:val="5F50DD52"/>
    <w:rsid w:val="5F9CF55D"/>
    <w:rsid w:val="6020CD8F"/>
    <w:rsid w:val="60704F07"/>
    <w:rsid w:val="60B65DC2"/>
    <w:rsid w:val="60C2CB56"/>
    <w:rsid w:val="61054B5B"/>
    <w:rsid w:val="611AC339"/>
    <w:rsid w:val="617661F2"/>
    <w:rsid w:val="623FAA95"/>
    <w:rsid w:val="62A3254B"/>
    <w:rsid w:val="62AD7F9D"/>
    <w:rsid w:val="62C11C3F"/>
    <w:rsid w:val="631A85D8"/>
    <w:rsid w:val="63315AAF"/>
    <w:rsid w:val="6367668F"/>
    <w:rsid w:val="6446F762"/>
    <w:rsid w:val="64AA670C"/>
    <w:rsid w:val="64BFC90A"/>
    <w:rsid w:val="650C68E6"/>
    <w:rsid w:val="65DA70D8"/>
    <w:rsid w:val="664DC60F"/>
    <w:rsid w:val="665F9437"/>
    <w:rsid w:val="675507EB"/>
    <w:rsid w:val="67B78A95"/>
    <w:rsid w:val="67CCA316"/>
    <w:rsid w:val="67E2B09C"/>
    <w:rsid w:val="67F3EB73"/>
    <w:rsid w:val="68AC1F85"/>
    <w:rsid w:val="690B2334"/>
    <w:rsid w:val="6B5909B5"/>
    <w:rsid w:val="6B966494"/>
    <w:rsid w:val="6BF4AF86"/>
    <w:rsid w:val="6C8A6CEF"/>
    <w:rsid w:val="6C995C2F"/>
    <w:rsid w:val="6D0145C1"/>
    <w:rsid w:val="6D47D682"/>
    <w:rsid w:val="6D77578A"/>
    <w:rsid w:val="6D7DF55D"/>
    <w:rsid w:val="6D8C3152"/>
    <w:rsid w:val="6D943016"/>
    <w:rsid w:val="6DA93BE4"/>
    <w:rsid w:val="6E263D50"/>
    <w:rsid w:val="6E69CACA"/>
    <w:rsid w:val="6EB77E0B"/>
    <w:rsid w:val="6EBF6349"/>
    <w:rsid w:val="6F19C5BE"/>
    <w:rsid w:val="6F450C45"/>
    <w:rsid w:val="6F81A77A"/>
    <w:rsid w:val="6FBA224F"/>
    <w:rsid w:val="70049379"/>
    <w:rsid w:val="703C1849"/>
    <w:rsid w:val="704266EF"/>
    <w:rsid w:val="70AEF84C"/>
    <w:rsid w:val="70DA3A20"/>
    <w:rsid w:val="71480A3E"/>
    <w:rsid w:val="71509858"/>
    <w:rsid w:val="7152EF4D"/>
    <w:rsid w:val="71AD7D24"/>
    <w:rsid w:val="71CEFFA0"/>
    <w:rsid w:val="71E8365D"/>
    <w:rsid w:val="725579E7"/>
    <w:rsid w:val="725BFFEC"/>
    <w:rsid w:val="7265ED3F"/>
    <w:rsid w:val="7376A6DC"/>
    <w:rsid w:val="73A118DE"/>
    <w:rsid w:val="73CBC014"/>
    <w:rsid w:val="73E561E5"/>
    <w:rsid w:val="74187D68"/>
    <w:rsid w:val="74A76279"/>
    <w:rsid w:val="750BE177"/>
    <w:rsid w:val="751DE32E"/>
    <w:rsid w:val="759FBC3D"/>
    <w:rsid w:val="75A154A8"/>
    <w:rsid w:val="75E83DDE"/>
    <w:rsid w:val="7668324C"/>
    <w:rsid w:val="766E3EDC"/>
    <w:rsid w:val="76B3DEAD"/>
    <w:rsid w:val="76E33E4A"/>
    <w:rsid w:val="779D3F95"/>
    <w:rsid w:val="78280070"/>
    <w:rsid w:val="783ED139"/>
    <w:rsid w:val="78438239"/>
    <w:rsid w:val="785B7AEC"/>
    <w:rsid w:val="78A696F9"/>
    <w:rsid w:val="78BEF41C"/>
    <w:rsid w:val="79159D02"/>
    <w:rsid w:val="79281457"/>
    <w:rsid w:val="79ADCD24"/>
    <w:rsid w:val="79D45424"/>
    <w:rsid w:val="79E48E26"/>
    <w:rsid w:val="7A096D96"/>
    <w:rsid w:val="7A115E6C"/>
    <w:rsid w:val="7A762531"/>
    <w:rsid w:val="7A90BE1E"/>
    <w:rsid w:val="7AAEBC3A"/>
    <w:rsid w:val="7AB2CAEE"/>
    <w:rsid w:val="7B44A29D"/>
    <w:rsid w:val="7B74E018"/>
    <w:rsid w:val="7BEC917C"/>
    <w:rsid w:val="7C1210CD"/>
    <w:rsid w:val="7CDCFA70"/>
    <w:rsid w:val="7D9A3B0A"/>
    <w:rsid w:val="7DA86878"/>
    <w:rsid w:val="7DCE7F40"/>
    <w:rsid w:val="7DEA6BB0"/>
    <w:rsid w:val="7E5A9DEF"/>
    <w:rsid w:val="7EC645C3"/>
    <w:rsid w:val="7FC5C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190CC"/>
  <w15:chartTrackingRefBased/>
  <w15:docId w15:val="{829BBA79-9890-4B0D-B3C7-DE5853D7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6D1"/>
  </w:style>
  <w:style w:type="paragraph" w:styleId="Footer">
    <w:name w:val="footer"/>
    <w:basedOn w:val="Normal"/>
    <w:link w:val="FooterChar"/>
    <w:uiPriority w:val="99"/>
    <w:unhideWhenUsed/>
    <w:rsid w:val="001C4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6D1"/>
  </w:style>
  <w:style w:type="paragraph" w:customStyle="1" w:styleId="ParaLevel1">
    <w:name w:val="ParaLevel1"/>
    <w:basedOn w:val="Normal"/>
    <w:rsid w:val="00562E91"/>
    <w:pPr>
      <w:numPr>
        <w:numId w:val="12"/>
      </w:numPr>
    </w:pPr>
  </w:style>
  <w:style w:type="paragraph" w:customStyle="1" w:styleId="ParaLevel2">
    <w:name w:val="ParaLevel2"/>
    <w:basedOn w:val="Normal"/>
    <w:rsid w:val="00562E91"/>
    <w:pPr>
      <w:numPr>
        <w:ilvl w:val="1"/>
        <w:numId w:val="12"/>
      </w:numPr>
    </w:pPr>
  </w:style>
  <w:style w:type="paragraph" w:customStyle="1" w:styleId="ParaLevel3">
    <w:name w:val="ParaLevel3"/>
    <w:basedOn w:val="Normal"/>
    <w:rsid w:val="00562E91"/>
    <w:pPr>
      <w:numPr>
        <w:ilvl w:val="2"/>
        <w:numId w:val="12"/>
      </w:numPr>
    </w:pPr>
  </w:style>
  <w:style w:type="paragraph" w:customStyle="1" w:styleId="ParaLevel4">
    <w:name w:val="ParaLevel4"/>
    <w:basedOn w:val="Normal"/>
    <w:rsid w:val="00562E91"/>
    <w:pPr>
      <w:numPr>
        <w:ilvl w:val="3"/>
        <w:numId w:val="12"/>
      </w:numPr>
    </w:pPr>
  </w:style>
  <w:style w:type="paragraph" w:customStyle="1" w:styleId="ParaLevel5">
    <w:name w:val="ParaLevel5"/>
    <w:basedOn w:val="Normal"/>
    <w:rsid w:val="00562E91"/>
    <w:pPr>
      <w:numPr>
        <w:ilvl w:val="4"/>
        <w:numId w:val="12"/>
      </w:numPr>
    </w:pPr>
  </w:style>
  <w:style w:type="paragraph" w:customStyle="1" w:styleId="ParaLevel6">
    <w:name w:val="ParaLevel6"/>
    <w:basedOn w:val="Normal"/>
    <w:rsid w:val="00562E91"/>
    <w:pPr>
      <w:numPr>
        <w:ilvl w:val="5"/>
        <w:numId w:val="12"/>
      </w:numPr>
    </w:pPr>
  </w:style>
  <w:style w:type="paragraph" w:customStyle="1" w:styleId="ParaLevel7">
    <w:name w:val="ParaLevel7"/>
    <w:basedOn w:val="Normal"/>
    <w:rsid w:val="00562E91"/>
    <w:pPr>
      <w:numPr>
        <w:ilvl w:val="6"/>
        <w:numId w:val="12"/>
      </w:numPr>
    </w:pPr>
  </w:style>
  <w:style w:type="paragraph" w:customStyle="1" w:styleId="ParaLevel8">
    <w:name w:val="ParaLevel8"/>
    <w:basedOn w:val="Normal"/>
    <w:rsid w:val="00562E91"/>
    <w:pPr>
      <w:numPr>
        <w:ilvl w:val="7"/>
        <w:numId w:val="12"/>
      </w:numPr>
    </w:pPr>
  </w:style>
  <w:style w:type="paragraph" w:customStyle="1" w:styleId="ParaLevel9">
    <w:name w:val="ParaLevel9"/>
    <w:basedOn w:val="Normal"/>
    <w:rsid w:val="00562E91"/>
    <w:pPr>
      <w:numPr>
        <w:ilvl w:val="8"/>
        <w:numId w:val="12"/>
      </w:numPr>
    </w:pPr>
  </w:style>
  <w:style w:type="paragraph" w:styleId="ListParagraph">
    <w:name w:val="List Paragraph"/>
    <w:basedOn w:val="Normal"/>
    <w:uiPriority w:val="34"/>
    <w:qFormat/>
    <w:rsid w:val="00F25461"/>
    <w:pPr>
      <w:ind w:left="720"/>
      <w:contextualSpacing/>
    </w:pPr>
  </w:style>
  <w:style w:type="paragraph" w:styleId="FootnoteText">
    <w:name w:val="footnote text"/>
    <w:basedOn w:val="Normal"/>
    <w:link w:val="FootnoteTextChar"/>
    <w:uiPriority w:val="99"/>
    <w:semiHidden/>
    <w:unhideWhenUsed/>
    <w:rsid w:val="00F25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461"/>
    <w:rPr>
      <w:sz w:val="20"/>
      <w:szCs w:val="20"/>
    </w:rPr>
  </w:style>
  <w:style w:type="character" w:styleId="FootnoteReference">
    <w:name w:val="footnote reference"/>
    <w:basedOn w:val="DefaultParagraphFont"/>
    <w:uiPriority w:val="99"/>
    <w:unhideWhenUsed/>
    <w:rsid w:val="00F25461"/>
    <w:rPr>
      <w:vertAlign w:val="superscript"/>
    </w:rPr>
  </w:style>
  <w:style w:type="paragraph" w:styleId="NormalWeb">
    <w:name w:val="Normal (Web)"/>
    <w:basedOn w:val="Normal"/>
    <w:uiPriority w:val="99"/>
    <w:semiHidden/>
    <w:unhideWhenUsed/>
    <w:rsid w:val="00D00D5F"/>
    <w:pPr>
      <w:spacing w:before="100" w:beforeAutospacing="1" w:after="100" w:afterAutospacing="1" w:line="240" w:lineRule="auto"/>
    </w:pPr>
    <w:rPr>
      <w:rFonts w:eastAsia="Times New Roman" w:cs="Times New Roman"/>
      <w:szCs w:val="24"/>
      <w:lang w:eastAsia="en-GB"/>
    </w:rPr>
  </w:style>
  <w:style w:type="paragraph" w:styleId="BalloonText">
    <w:name w:val="Balloon Text"/>
    <w:basedOn w:val="Normal"/>
    <w:link w:val="BalloonTextChar"/>
    <w:uiPriority w:val="99"/>
    <w:semiHidden/>
    <w:unhideWhenUsed/>
    <w:rsid w:val="00546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A13"/>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2471">
      <w:bodyDiv w:val="1"/>
      <w:marLeft w:val="0"/>
      <w:marRight w:val="0"/>
      <w:marTop w:val="0"/>
      <w:marBottom w:val="0"/>
      <w:divBdr>
        <w:top w:val="none" w:sz="0" w:space="0" w:color="auto"/>
        <w:left w:val="none" w:sz="0" w:space="0" w:color="auto"/>
        <w:bottom w:val="none" w:sz="0" w:space="0" w:color="auto"/>
        <w:right w:val="none" w:sz="0" w:space="0" w:color="auto"/>
      </w:divBdr>
    </w:div>
    <w:div w:id="501046014">
      <w:bodyDiv w:val="1"/>
      <w:marLeft w:val="0"/>
      <w:marRight w:val="0"/>
      <w:marTop w:val="0"/>
      <w:marBottom w:val="0"/>
      <w:divBdr>
        <w:top w:val="none" w:sz="0" w:space="0" w:color="auto"/>
        <w:left w:val="none" w:sz="0" w:space="0" w:color="auto"/>
        <w:bottom w:val="none" w:sz="0" w:space="0" w:color="auto"/>
        <w:right w:val="none" w:sz="0" w:space="0" w:color="auto"/>
      </w:divBdr>
    </w:div>
    <w:div w:id="513810040">
      <w:bodyDiv w:val="1"/>
      <w:marLeft w:val="0"/>
      <w:marRight w:val="0"/>
      <w:marTop w:val="0"/>
      <w:marBottom w:val="0"/>
      <w:divBdr>
        <w:top w:val="none" w:sz="0" w:space="0" w:color="auto"/>
        <w:left w:val="none" w:sz="0" w:space="0" w:color="auto"/>
        <w:bottom w:val="none" w:sz="0" w:space="0" w:color="auto"/>
        <w:right w:val="none" w:sz="0" w:space="0" w:color="auto"/>
      </w:divBdr>
    </w:div>
    <w:div w:id="1618216259">
      <w:bodyDiv w:val="1"/>
      <w:marLeft w:val="0"/>
      <w:marRight w:val="0"/>
      <w:marTop w:val="0"/>
      <w:marBottom w:val="0"/>
      <w:divBdr>
        <w:top w:val="none" w:sz="0" w:space="0" w:color="auto"/>
        <w:left w:val="none" w:sz="0" w:space="0" w:color="auto"/>
        <w:bottom w:val="none" w:sz="0" w:space="0" w:color="auto"/>
        <w:right w:val="none" w:sz="0" w:space="0" w:color="auto"/>
      </w:divBdr>
    </w:div>
    <w:div w:id="20221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3" ma:contentTypeDescription="Create a new document." ma:contentTypeScope="" ma:versionID="51d6268d870bd5c9bfb2b4e8c69aea09">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76b14554515399dc9f1e89885e0bfe84"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86D4D-A72B-4F45-A144-1BA2C1B11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F3BBB-638E-46AC-AD35-CCE8A7D07D33}">
  <ds:schemaRefs>
    <ds:schemaRef ds:uri="http://schemas.microsoft.com/sharepoint/v3/contenttype/forms"/>
  </ds:schemaRefs>
</ds:datastoreItem>
</file>

<file path=customXml/itemProps3.xml><?xml version="1.0" encoding="utf-8"?>
<ds:datastoreItem xmlns:ds="http://schemas.openxmlformats.org/officeDocument/2006/customXml" ds:itemID="{34AEF0FE-64CC-402C-B19A-DBDDC4F7D2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35</Pages>
  <Words>14082</Words>
  <Characters>80271</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Lavender, Mr Justice</dc:creator>
  <cp:keywords/>
  <dc:description/>
  <cp:lastModifiedBy>Andrew Hogan</cp:lastModifiedBy>
  <cp:revision>2</cp:revision>
  <cp:lastPrinted>2021-06-10T14:12:00Z</cp:lastPrinted>
  <dcterms:created xsi:type="dcterms:W3CDTF">2021-06-11T11:14:00Z</dcterms:created>
  <dcterms:modified xsi:type="dcterms:W3CDTF">2021-06-11T11:14:00Z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0x010100805099C6743EED4CA9C17E54D9094940</vt:lpwstr>
  </property>
</Properties>
</file>